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3166"/>
        <w:gridCol w:w="6073"/>
      </w:tblGrid>
      <w:tr w:rsidR="001151B4" w:rsidRPr="00B043CD" w:rsidTr="00361FBF">
        <w:trPr>
          <w:trHeight w:val="849"/>
          <w:jc w:val="center"/>
        </w:trPr>
        <w:tc>
          <w:tcPr>
            <w:tcW w:w="3166" w:type="dxa"/>
          </w:tcPr>
          <w:p w:rsidR="001151B4" w:rsidRPr="00B043CD" w:rsidRDefault="001151B4" w:rsidP="00361FBF">
            <w:pPr>
              <w:spacing w:after="0" w:line="240" w:lineRule="auto"/>
              <w:jc w:val="center"/>
              <w:rPr>
                <w:b/>
                <w:sz w:val="26"/>
                <w:szCs w:val="26"/>
              </w:rPr>
            </w:pPr>
            <w:bookmarkStart w:id="0" w:name="dieu_16"/>
            <w:r w:rsidRPr="00B043CD">
              <w:rPr>
                <w:szCs w:val="28"/>
              </w:rPr>
              <w:br w:type="page"/>
            </w:r>
            <w:r w:rsidRPr="00B043CD">
              <w:br w:type="page"/>
            </w:r>
            <w:r w:rsidRPr="00B043CD">
              <w:br w:type="page"/>
            </w:r>
            <w:r w:rsidR="00CC13BB">
              <w:rPr>
                <w:b/>
                <w:noProof/>
                <w:sz w:val="26"/>
                <w:szCs w:val="26"/>
              </w:rPr>
              <w:pict>
                <v:line id="Straight Connector 1" o:spid="_x0000_s1026" style="position:absolute;left:0;text-align:left;z-index:251656704;visibility:visible;mso-wrap-distance-top:-8e-5mm;mso-wrap-distance-bottom:-8e-5mm;mso-width-relative:margin" from="34.15pt,17.4pt" to="111.4pt,1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" strokeweight=".5pt">
                  <v:stroke joinstyle="miter"/>
                  <o:lock v:ext="edit" shapetype="f"/>
                </v:line>
              </w:pict>
            </w:r>
            <w:r w:rsidRPr="00B043CD">
              <w:rPr>
                <w:b/>
                <w:sz w:val="26"/>
                <w:szCs w:val="26"/>
              </w:rPr>
              <w:t>BỘ XÂY DỰNG</w:t>
            </w:r>
          </w:p>
        </w:tc>
        <w:tc>
          <w:tcPr>
            <w:tcW w:w="6073" w:type="dxa"/>
          </w:tcPr>
          <w:p w:rsidR="001151B4" w:rsidRPr="00B043CD" w:rsidRDefault="001151B4" w:rsidP="00361FBF">
            <w:pPr>
              <w:spacing w:after="0" w:line="240" w:lineRule="auto"/>
              <w:jc w:val="center"/>
              <w:rPr>
                <w:b/>
                <w:sz w:val="26"/>
                <w:szCs w:val="26"/>
              </w:rPr>
            </w:pPr>
            <w:r w:rsidRPr="00B043CD">
              <w:rPr>
                <w:b/>
                <w:sz w:val="26"/>
                <w:szCs w:val="26"/>
              </w:rPr>
              <w:t>CỘNG HÒA XÃ HỘI CHỦ NGHĨA VIỆT NAM</w:t>
            </w:r>
          </w:p>
          <w:p w:rsidR="001151B4" w:rsidRPr="00B043CD" w:rsidRDefault="00CC13BB" w:rsidP="00361FBF">
            <w:pPr>
              <w:spacing w:after="0" w:line="240" w:lineRule="auto"/>
              <w:jc w:val="center"/>
              <w:rPr>
                <w:b/>
                <w:sz w:val="26"/>
                <w:szCs w:val="26"/>
              </w:rPr>
            </w:pPr>
            <w:r>
              <w:rPr>
                <w:b/>
                <w:noProof/>
                <w:sz w:val="26"/>
                <w:szCs w:val="26"/>
              </w:rPr>
              <w:pict>
                <v:line id="Straight Connector 2" o:spid="_x0000_s1027" style="position:absolute;left:0;text-align:left;z-index:251657728;visibility:visible;mso-wrap-distance-top:-8e-5mm;mso-wrap-distance-bottom:-8e-5mm;mso-width-relative:margin" from="71.65pt,17.15pt" to="219.4pt,1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" strokeweight=".5pt">
                  <o:lock v:ext="edit" shapetype="f"/>
                </v:line>
              </w:pict>
            </w:r>
            <w:r w:rsidR="001151B4" w:rsidRPr="00B043CD">
              <w:rPr>
                <w:b/>
                <w:sz w:val="26"/>
                <w:szCs w:val="26"/>
              </w:rPr>
              <w:t>Độc lập – Tự do – Hạnh phúc</w:t>
            </w:r>
          </w:p>
        </w:tc>
      </w:tr>
      <w:tr w:rsidR="001151B4" w:rsidRPr="00B043CD" w:rsidTr="00361FBF">
        <w:trPr>
          <w:trHeight w:val="421"/>
          <w:jc w:val="center"/>
        </w:trPr>
        <w:tc>
          <w:tcPr>
            <w:tcW w:w="3166" w:type="dxa"/>
          </w:tcPr>
          <w:p w:rsidR="001151B4" w:rsidRPr="00B043CD" w:rsidRDefault="001151B4" w:rsidP="00361FBF">
            <w:pPr>
              <w:spacing w:after="0" w:line="240" w:lineRule="auto"/>
              <w:jc w:val="center"/>
              <w:rPr>
                <w:sz w:val="26"/>
                <w:szCs w:val="26"/>
              </w:rPr>
            </w:pPr>
            <w:r w:rsidRPr="00B043CD">
              <w:rPr>
                <w:sz w:val="26"/>
                <w:szCs w:val="26"/>
              </w:rPr>
              <w:t xml:space="preserve">Số:    </w:t>
            </w:r>
            <w:r w:rsidR="00547CBA">
              <w:rPr>
                <w:sz w:val="26"/>
                <w:szCs w:val="26"/>
              </w:rPr>
              <w:t xml:space="preserve">08 </w:t>
            </w:r>
            <w:r w:rsidRPr="00B043CD">
              <w:rPr>
                <w:sz w:val="26"/>
                <w:szCs w:val="26"/>
              </w:rPr>
              <w:t xml:space="preserve"> /2018/TT-BXD</w:t>
            </w:r>
          </w:p>
        </w:tc>
        <w:tc>
          <w:tcPr>
            <w:tcW w:w="6073" w:type="dxa"/>
          </w:tcPr>
          <w:p w:rsidR="001151B4" w:rsidRPr="00B043CD" w:rsidRDefault="001151B4" w:rsidP="00361FBF">
            <w:pPr>
              <w:spacing w:after="0" w:line="240" w:lineRule="auto"/>
              <w:jc w:val="center"/>
              <w:rPr>
                <w:i/>
                <w:sz w:val="26"/>
                <w:szCs w:val="26"/>
              </w:rPr>
            </w:pPr>
            <w:r w:rsidRPr="00B043CD">
              <w:rPr>
                <w:i/>
                <w:sz w:val="26"/>
                <w:szCs w:val="26"/>
              </w:rPr>
              <w:t>Hà Nộ</w:t>
            </w:r>
            <w:r w:rsidR="00547CBA">
              <w:rPr>
                <w:i/>
                <w:sz w:val="26"/>
                <w:szCs w:val="26"/>
              </w:rPr>
              <w:t>i, ngày 05  tháng</w:t>
            </w:r>
            <w:r w:rsidRPr="00B043CD">
              <w:rPr>
                <w:i/>
                <w:sz w:val="26"/>
                <w:szCs w:val="26"/>
              </w:rPr>
              <w:t xml:space="preserve"> </w:t>
            </w:r>
            <w:r w:rsidR="00547CBA">
              <w:rPr>
                <w:i/>
                <w:sz w:val="26"/>
                <w:szCs w:val="26"/>
              </w:rPr>
              <w:t>10</w:t>
            </w:r>
            <w:r w:rsidRPr="00B043CD">
              <w:rPr>
                <w:i/>
                <w:sz w:val="26"/>
                <w:szCs w:val="26"/>
              </w:rPr>
              <w:t xml:space="preserve">  năm 2018</w:t>
            </w:r>
          </w:p>
        </w:tc>
      </w:tr>
    </w:tbl>
    <w:p w:rsidR="001151B4" w:rsidRPr="00B043CD" w:rsidRDefault="001151B4" w:rsidP="001151B4">
      <w:pPr>
        <w:spacing w:after="0" w:line="240" w:lineRule="auto"/>
        <w:jc w:val="center"/>
        <w:rPr>
          <w:b/>
          <w:szCs w:val="28"/>
        </w:rPr>
      </w:pPr>
    </w:p>
    <w:p w:rsidR="001151B4" w:rsidRPr="00B043CD" w:rsidRDefault="001151B4" w:rsidP="001151B4">
      <w:pPr>
        <w:spacing w:before="120" w:after="0" w:line="240" w:lineRule="auto"/>
        <w:jc w:val="center"/>
        <w:rPr>
          <w:b/>
          <w:szCs w:val="28"/>
        </w:rPr>
      </w:pPr>
      <w:r w:rsidRPr="00B043CD">
        <w:rPr>
          <w:b/>
          <w:szCs w:val="28"/>
        </w:rPr>
        <w:t>THÔNG TƯ</w:t>
      </w:r>
    </w:p>
    <w:p w:rsidR="00B21724" w:rsidRPr="00B043CD" w:rsidRDefault="00B21724" w:rsidP="00B21724">
      <w:pPr>
        <w:spacing w:after="0" w:line="240" w:lineRule="auto"/>
        <w:jc w:val="center"/>
        <w:rPr>
          <w:b/>
          <w:szCs w:val="28"/>
        </w:rPr>
      </w:pPr>
      <w:r w:rsidRPr="00B043CD">
        <w:rPr>
          <w:b/>
          <w:szCs w:val="28"/>
        </w:rPr>
        <w:t xml:space="preserve">Hướng dẫn một số nội dung về chứng chỉ hành nghề </w:t>
      </w:r>
      <w:commentRangeStart w:id="1"/>
      <w:r w:rsidRPr="00B043CD">
        <w:rPr>
          <w:b/>
          <w:szCs w:val="28"/>
        </w:rPr>
        <w:t>hoạt động xây dựng</w:t>
      </w:r>
      <w:commentRangeEnd w:id="1"/>
      <w:r w:rsidRPr="00B043CD">
        <w:rPr>
          <w:rStyle w:val="CommentReference"/>
        </w:rPr>
        <w:commentReference w:id="1"/>
      </w:r>
      <w:r w:rsidRPr="00B043CD">
        <w:rPr>
          <w:b/>
          <w:szCs w:val="28"/>
        </w:rPr>
        <w:t xml:space="preserve">, chứng chỉ năng lực hoạt động xây dựng và quản lý nhà thầu nước ngoài </w:t>
      </w:r>
    </w:p>
    <w:p w:rsidR="00B21724" w:rsidRPr="00B043CD" w:rsidRDefault="00B21724" w:rsidP="00B21724">
      <w:pPr>
        <w:spacing w:after="0" w:line="240" w:lineRule="auto"/>
        <w:jc w:val="center"/>
        <w:rPr>
          <w:b/>
          <w:szCs w:val="28"/>
        </w:rPr>
      </w:pPr>
      <w:r w:rsidRPr="00B043CD">
        <w:rPr>
          <w:b/>
          <w:szCs w:val="28"/>
        </w:rPr>
        <w:t>hoạt động xây dựng tại Việt Nam</w:t>
      </w:r>
    </w:p>
    <w:p w:rsidR="001151B4" w:rsidRPr="00B043CD" w:rsidRDefault="00CC13BB" w:rsidP="001151B4">
      <w:pPr>
        <w:spacing w:before="120" w:after="0" w:line="240" w:lineRule="auto"/>
        <w:jc w:val="center"/>
        <w:rPr>
          <w:i/>
          <w:szCs w:val="28"/>
        </w:rPr>
      </w:pPr>
      <w:r w:rsidRPr="00CC13BB">
        <w:rPr>
          <w:b/>
          <w:noProof/>
          <w:szCs w:val="28"/>
        </w:rPr>
        <w:pict>
          <v:line id="Straight Connector 3" o:spid="_x0000_s1028" style="position:absolute;left:0;text-align:left;z-index:251658752;visibility:visible;mso-wrap-distance-top:-8e-5mm;mso-wrap-distance-bottom:-8e-5mm" from="192.55pt,4.8pt" to="262.3pt,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" strokeweight=".5pt">
            <v:stroke joinstyle="miter"/>
            <o:lock v:ext="edit" shapetype="f"/>
          </v:line>
        </w:pict>
      </w:r>
    </w:p>
    <w:p w:rsidR="001151B4" w:rsidRPr="00B043CD" w:rsidRDefault="001151B4" w:rsidP="00BF16C5">
      <w:pPr>
        <w:spacing w:after="120" w:line="240" w:lineRule="auto"/>
        <w:ind w:firstLine="567"/>
        <w:jc w:val="both"/>
        <w:rPr>
          <w:i/>
          <w:szCs w:val="28"/>
        </w:rPr>
      </w:pPr>
      <w:r w:rsidRPr="00B043CD">
        <w:rPr>
          <w:i/>
          <w:szCs w:val="28"/>
        </w:rPr>
        <w:t>Căn cứ Luật Xây dựng số 50/2014/QH13;</w:t>
      </w:r>
    </w:p>
    <w:p w:rsidR="001151B4" w:rsidRPr="00B043CD" w:rsidRDefault="001151B4" w:rsidP="00BF16C5">
      <w:pPr>
        <w:spacing w:after="120" w:line="240" w:lineRule="auto"/>
        <w:ind w:firstLine="567"/>
        <w:jc w:val="both"/>
        <w:rPr>
          <w:i/>
          <w:szCs w:val="28"/>
        </w:rPr>
      </w:pPr>
      <w:r w:rsidRPr="00B043CD">
        <w:rPr>
          <w:i/>
          <w:szCs w:val="28"/>
        </w:rPr>
        <w:t>Căn cứ Nghị định số 81/2017/NĐ-CP ngày 17/7/2017 của Chính phủ quy định chức năng, nhiệm vụ, quyền hạn và cơ cấu tổ chức của Bộ Xây dựng;</w:t>
      </w:r>
    </w:p>
    <w:p w:rsidR="001151B4" w:rsidRPr="00B043CD" w:rsidRDefault="001151B4" w:rsidP="00BF16C5">
      <w:pPr>
        <w:spacing w:after="120" w:line="240" w:lineRule="auto"/>
        <w:ind w:firstLine="567"/>
        <w:jc w:val="both"/>
        <w:rPr>
          <w:i/>
          <w:szCs w:val="28"/>
        </w:rPr>
      </w:pPr>
      <w:r w:rsidRPr="00B043CD">
        <w:rPr>
          <w:i/>
          <w:szCs w:val="28"/>
        </w:rPr>
        <w:t>Căn cứ Nghị định số 59/2015/NĐ-CP ngày 18/6/2015 của Chính phủ về quản lý dự án đầu tư xây dựng;</w:t>
      </w:r>
    </w:p>
    <w:p w:rsidR="001151B4" w:rsidRPr="00B043CD" w:rsidRDefault="001151B4" w:rsidP="00BF16C5">
      <w:pPr>
        <w:spacing w:after="120" w:line="240" w:lineRule="auto"/>
        <w:ind w:firstLine="567"/>
        <w:jc w:val="both"/>
        <w:rPr>
          <w:i/>
          <w:szCs w:val="28"/>
        </w:rPr>
      </w:pPr>
      <w:r w:rsidRPr="00B043CD">
        <w:rPr>
          <w:i/>
          <w:szCs w:val="28"/>
        </w:rPr>
        <w:t>Căn cứ Nghị định số 42/2017/NĐ-CP ngày 05/4/2017 của Chính phủ về sửa đổi, bổ sung một số điều của Nghị định số 59/2015/NĐ-CP ngày 18/6/2015 của Chính phủ về quản lý dự án đầu tư xây dựng;</w:t>
      </w:r>
    </w:p>
    <w:p w:rsidR="001151B4" w:rsidRPr="00B043CD" w:rsidRDefault="001151B4" w:rsidP="00BF16C5">
      <w:pPr>
        <w:spacing w:after="120" w:line="240" w:lineRule="auto"/>
        <w:ind w:firstLine="567"/>
        <w:jc w:val="both"/>
        <w:rPr>
          <w:i/>
          <w:szCs w:val="28"/>
        </w:rPr>
      </w:pPr>
      <w:r w:rsidRPr="00B043CD">
        <w:rPr>
          <w:i/>
          <w:szCs w:val="28"/>
        </w:rPr>
        <w:t>Căn cứ Nghị định số 100/2018/NĐ-CP ngày 16/7/2018 của Chính phủ về Sửa đổi, bổ sung, bãi bỏ một số quy định về điều kiện đầu tư kinh doanh thuộc các lĩnh vực quản lý nhà nước của Bộ Xây dựng (sau đây viết là Nghị định số 100/2018/NĐ-CP);</w:t>
      </w:r>
    </w:p>
    <w:p w:rsidR="001151B4" w:rsidRPr="00B043CD" w:rsidRDefault="00E91147" w:rsidP="00BF16C5">
      <w:pPr>
        <w:spacing w:after="120" w:line="240" w:lineRule="auto"/>
        <w:ind w:firstLine="567"/>
        <w:jc w:val="both"/>
        <w:rPr>
          <w:i/>
          <w:szCs w:val="28"/>
        </w:rPr>
      </w:pPr>
      <w:r w:rsidRPr="00B043CD">
        <w:rPr>
          <w:i/>
          <w:szCs w:val="28"/>
        </w:rPr>
        <w:t>Theo</w:t>
      </w:r>
      <w:r w:rsidR="001151B4" w:rsidRPr="00B043CD">
        <w:rPr>
          <w:i/>
          <w:szCs w:val="28"/>
        </w:rPr>
        <w:t xml:space="preserve"> đề nghị của Cục trưởng Cục Quản lý hoạt động xây dựng,</w:t>
      </w:r>
    </w:p>
    <w:p w:rsidR="001151B4" w:rsidRPr="00B043CD" w:rsidRDefault="001151B4" w:rsidP="00BF16C5">
      <w:pPr>
        <w:spacing w:after="120" w:line="240" w:lineRule="auto"/>
        <w:ind w:firstLine="567"/>
        <w:jc w:val="both"/>
        <w:rPr>
          <w:i/>
          <w:szCs w:val="28"/>
        </w:rPr>
      </w:pPr>
      <w:r w:rsidRPr="00B043CD">
        <w:rPr>
          <w:i/>
          <w:szCs w:val="28"/>
        </w:rPr>
        <w:t>Bộ trưởng Bộ Xây dựng ban hành Thông tư hướng dẫn một số nội dung về chứng chỉ hành nghề</w:t>
      </w:r>
      <w:r w:rsidR="00B21724" w:rsidRPr="00B043CD">
        <w:rPr>
          <w:i/>
          <w:szCs w:val="28"/>
        </w:rPr>
        <w:t xml:space="preserve"> hoạt động xây dựng</w:t>
      </w:r>
      <w:r w:rsidRPr="00B043CD">
        <w:rPr>
          <w:i/>
          <w:szCs w:val="28"/>
        </w:rPr>
        <w:t>, chứng chỉ năng lực hoạt động xây dựng và quản lý nhà thầu nước ngoài hoạt động xây dựng tại Việt Nam</w:t>
      </w:r>
      <w:r w:rsidR="00AA5D7F" w:rsidRPr="00B043CD">
        <w:rPr>
          <w:i/>
          <w:szCs w:val="28"/>
        </w:rPr>
        <w:t>.</w:t>
      </w:r>
    </w:p>
    <w:bookmarkEnd w:id="0"/>
    <w:p w:rsidR="00BF16C5" w:rsidRPr="00B043CD" w:rsidRDefault="00BF16C5" w:rsidP="00BF16C5">
      <w:pPr>
        <w:spacing w:after="120" w:line="240" w:lineRule="auto"/>
        <w:ind w:firstLine="851"/>
        <w:jc w:val="both"/>
        <w:rPr>
          <w:b/>
          <w:szCs w:val="28"/>
        </w:rPr>
      </w:pPr>
    </w:p>
    <w:p w:rsidR="00C00B84" w:rsidRPr="00B043CD" w:rsidRDefault="00C00B84" w:rsidP="00F555F7">
      <w:pPr>
        <w:spacing w:after="120" w:line="240" w:lineRule="auto"/>
        <w:ind w:firstLine="709"/>
        <w:jc w:val="both"/>
        <w:rPr>
          <w:b/>
          <w:szCs w:val="28"/>
        </w:rPr>
      </w:pPr>
      <w:r w:rsidRPr="00B043CD">
        <w:rPr>
          <w:b/>
          <w:szCs w:val="28"/>
        </w:rPr>
        <w:t>Điều 1. Phạm vi điều chỉnh và đối tượng áp dụng</w:t>
      </w:r>
    </w:p>
    <w:p w:rsidR="00C00B84" w:rsidRPr="00B043CD" w:rsidRDefault="00C00B84" w:rsidP="00F555F7">
      <w:pPr>
        <w:spacing w:after="120" w:line="240" w:lineRule="auto"/>
        <w:ind w:firstLine="709"/>
        <w:jc w:val="both"/>
        <w:rPr>
          <w:szCs w:val="28"/>
        </w:rPr>
      </w:pPr>
      <w:r w:rsidRPr="00B043CD">
        <w:rPr>
          <w:szCs w:val="28"/>
        </w:rPr>
        <w:t>1. Phạm vi điều chỉnh: Thông tư này hướng dẫn một số nội dung về chứng chỉ hành nghề hoạt động xây dựng, chứng chỉ năng lực hoạt động xây dựng và quản lý nhà thầu nước ngoài hoạt động xây dựng tại Việt Nam.</w:t>
      </w:r>
    </w:p>
    <w:p w:rsidR="00C00B84" w:rsidRPr="00B043CD" w:rsidRDefault="00C00B84" w:rsidP="00F555F7">
      <w:pPr>
        <w:spacing w:after="120" w:line="240" w:lineRule="auto"/>
        <w:ind w:firstLine="709"/>
        <w:jc w:val="both"/>
        <w:rPr>
          <w:szCs w:val="28"/>
        </w:rPr>
      </w:pPr>
      <w:r w:rsidRPr="00B043CD">
        <w:rPr>
          <w:szCs w:val="28"/>
        </w:rPr>
        <w:t xml:space="preserve">2. Đối tượng áp dụng: Thông tư này áp dụng đối với cơ quan, tổ chức, cá nhân trong nước; tổ chức, cá nhân nước ngoài hoạt động xây dựng trên lãnh thổ Việt Nam. </w:t>
      </w:r>
    </w:p>
    <w:p w:rsidR="00C00B84" w:rsidRPr="00B043CD" w:rsidRDefault="00C00B84" w:rsidP="00F555F7">
      <w:pPr>
        <w:pStyle w:val="NormalWeb"/>
        <w:spacing w:before="0" w:beforeAutospacing="0" w:after="120" w:afterAutospacing="0"/>
        <w:ind w:firstLine="709"/>
        <w:jc w:val="both"/>
        <w:rPr>
          <w:rFonts w:ascii="Times New Roman Bold" w:hAnsi="Times New Roman Bold"/>
          <w:b/>
          <w:bCs/>
          <w:sz w:val="28"/>
          <w:szCs w:val="28"/>
        </w:rPr>
      </w:pPr>
      <w:r w:rsidRPr="00B043CD">
        <w:rPr>
          <w:rFonts w:ascii="Times New Roman Bold" w:hAnsi="Times New Roman Bold"/>
          <w:b/>
          <w:bCs/>
          <w:sz w:val="28"/>
          <w:szCs w:val="28"/>
          <w:lang w:val="vi-VN"/>
        </w:rPr>
        <w:t>Điều </w:t>
      </w:r>
      <w:r w:rsidRPr="00B043CD">
        <w:rPr>
          <w:rFonts w:ascii="Times New Roman Bold" w:hAnsi="Times New Roman Bold"/>
          <w:b/>
          <w:bCs/>
          <w:sz w:val="28"/>
          <w:szCs w:val="28"/>
        </w:rPr>
        <w:t>2</w:t>
      </w:r>
      <w:r w:rsidRPr="00B043CD">
        <w:rPr>
          <w:b/>
          <w:bCs/>
          <w:sz w:val="28"/>
          <w:szCs w:val="28"/>
          <w:lang w:val="vi-VN"/>
        </w:rPr>
        <w:t xml:space="preserve">. </w:t>
      </w:r>
      <w:commentRangeStart w:id="2"/>
      <w:r w:rsidRPr="00B043CD">
        <w:rPr>
          <w:b/>
          <w:bCs/>
          <w:sz w:val="28"/>
          <w:szCs w:val="28"/>
        </w:rPr>
        <w:t>Ch</w:t>
      </w:r>
      <w:r w:rsidRPr="00B043CD">
        <w:rPr>
          <w:b/>
          <w:bCs/>
          <w:sz w:val="28"/>
          <w:szCs w:val="28"/>
          <w:lang w:val="vi-VN"/>
        </w:rPr>
        <w:t>uyên</w:t>
      </w:r>
      <w:r w:rsidRPr="00B043CD">
        <w:rPr>
          <w:rFonts w:ascii="Times New Roman Bold" w:hAnsi="Times New Roman Bold"/>
          <w:b/>
          <w:bCs/>
          <w:sz w:val="28"/>
          <w:szCs w:val="28"/>
          <w:lang w:val="vi-VN"/>
        </w:rPr>
        <w:t xml:space="preserve"> môn </w:t>
      </w:r>
      <w:r w:rsidRPr="00B043CD">
        <w:rPr>
          <w:rFonts w:ascii="Times New Roman Bold" w:hAnsi="Times New Roman Bold"/>
          <w:b/>
          <w:bCs/>
          <w:sz w:val="28"/>
          <w:szCs w:val="28"/>
        </w:rPr>
        <w:t>phù hợp</w:t>
      </w:r>
      <w:r w:rsidRPr="00B043CD">
        <w:rPr>
          <w:rFonts w:ascii="Times New Roman Bold" w:hAnsi="Times New Roman Bold"/>
          <w:b/>
          <w:bCs/>
          <w:sz w:val="28"/>
          <w:szCs w:val="28"/>
          <w:lang w:val="vi-VN"/>
        </w:rPr>
        <w:t> </w:t>
      </w:r>
      <w:r w:rsidRPr="00B043CD">
        <w:rPr>
          <w:rFonts w:ascii="Times New Roman Bold" w:hAnsi="Times New Roman Bold"/>
          <w:b/>
          <w:bCs/>
          <w:sz w:val="28"/>
          <w:szCs w:val="28"/>
        </w:rPr>
        <w:t>khi xét cấp chứng chỉ hành nghề</w:t>
      </w:r>
      <w:commentRangeEnd w:id="2"/>
      <w:r w:rsidRPr="00B043CD">
        <w:rPr>
          <w:rStyle w:val="CommentReference"/>
          <w:rFonts w:eastAsia="Calibri"/>
        </w:rPr>
        <w:commentReference w:id="2"/>
      </w:r>
      <w:r w:rsidRPr="00B043CD">
        <w:rPr>
          <w:rFonts w:ascii="Times New Roman Bold" w:hAnsi="Times New Roman Bold"/>
          <w:b/>
          <w:bCs/>
          <w:sz w:val="28"/>
          <w:szCs w:val="28"/>
        </w:rPr>
        <w:t xml:space="preserve"> hoạt động xây dựng</w:t>
      </w:r>
    </w:p>
    <w:p w:rsidR="00C00B84" w:rsidRPr="00B043CD" w:rsidRDefault="00C00B84" w:rsidP="00F555F7">
      <w:pPr>
        <w:pStyle w:val="NormalWeb"/>
        <w:tabs>
          <w:tab w:val="left" w:pos="567"/>
        </w:tabs>
        <w:spacing w:before="0" w:beforeAutospacing="0" w:after="120" w:afterAutospacing="0"/>
        <w:ind w:firstLine="709"/>
        <w:jc w:val="both"/>
        <w:rPr>
          <w:sz w:val="28"/>
          <w:szCs w:val="28"/>
        </w:rPr>
      </w:pPr>
      <w:r w:rsidRPr="00B043CD">
        <w:rPr>
          <w:sz w:val="28"/>
          <w:szCs w:val="28"/>
        </w:rPr>
        <w:t>C</w:t>
      </w:r>
      <w:r w:rsidRPr="00B043CD">
        <w:rPr>
          <w:sz w:val="28"/>
          <w:szCs w:val="28"/>
          <w:lang w:val="vi-VN"/>
        </w:rPr>
        <w:t>huyên môn đào tạo của cá nh</w:t>
      </w:r>
      <w:r w:rsidRPr="00B043CD">
        <w:rPr>
          <w:sz w:val="28"/>
          <w:szCs w:val="28"/>
        </w:rPr>
        <w:t>â</w:t>
      </w:r>
      <w:r w:rsidRPr="00B043CD">
        <w:rPr>
          <w:sz w:val="28"/>
          <w:szCs w:val="28"/>
          <w:lang w:val="vi-VN"/>
        </w:rPr>
        <w:t xml:space="preserve">n </w:t>
      </w:r>
      <w:r w:rsidRPr="00B043CD">
        <w:rPr>
          <w:sz w:val="28"/>
          <w:szCs w:val="28"/>
        </w:rPr>
        <w:t xml:space="preserve">được </w:t>
      </w:r>
      <w:r w:rsidRPr="00B043CD">
        <w:rPr>
          <w:sz w:val="28"/>
          <w:szCs w:val="28"/>
          <w:lang w:val="vi-VN"/>
        </w:rPr>
        <w:t>xác định là phù hợp khi chuyên ngành hoặc nội dung chương trình đào tạo của cá nhân đó phù hợp với lĩnh vực đề nghị cấp chứng chỉ hành nghề</w:t>
      </w:r>
      <w:r w:rsidRPr="00B043CD">
        <w:rPr>
          <w:sz w:val="28"/>
          <w:szCs w:val="28"/>
        </w:rPr>
        <w:t xml:space="preserve"> hoạt động xây dựng, cụ thể như sau: </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lastRenderedPageBreak/>
        <w:t>1. Đối với lĩnh vực</w:t>
      </w:r>
      <w:r w:rsidRPr="00B043CD">
        <w:rPr>
          <w:sz w:val="28"/>
          <w:szCs w:val="28"/>
          <w:lang w:val="vi-VN"/>
        </w:rPr>
        <w:t xml:space="preserve"> khảo sát xây dựng</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 xml:space="preserve">a) Khảo sát địa hình: Chuyên môn được đào tạo thuộc một trong các chuyên ngành: địa chất, </w:t>
      </w:r>
      <w:r w:rsidRPr="00B043CD">
        <w:rPr>
          <w:sz w:val="28"/>
          <w:szCs w:val="28"/>
          <w:lang w:val="vi-VN"/>
        </w:rPr>
        <w:t>trắc địa</w:t>
      </w:r>
      <w:r w:rsidRPr="00B043CD">
        <w:rPr>
          <w:sz w:val="28"/>
          <w:szCs w:val="28"/>
        </w:rPr>
        <w:t>, </w:t>
      </w:r>
      <w:r w:rsidRPr="00B043CD">
        <w:rPr>
          <w:iCs/>
          <w:sz w:val="28"/>
          <w:szCs w:val="28"/>
        </w:rPr>
        <w:t>bản đồ,</w:t>
      </w:r>
      <w:r w:rsidRPr="00B043CD">
        <w:rPr>
          <w:sz w:val="28"/>
          <w:szCs w:val="28"/>
          <w:lang w:val="vi-VN"/>
        </w:rPr>
        <w:t xml:space="preserve"> xây dựng</w:t>
      </w:r>
      <w:r w:rsidR="00A06692" w:rsidRPr="00B043CD">
        <w:rPr>
          <w:sz w:val="28"/>
          <w:szCs w:val="28"/>
        </w:rPr>
        <w:t xml:space="preserve"> công trình;</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b) K</w:t>
      </w:r>
      <w:r w:rsidRPr="00B043CD">
        <w:rPr>
          <w:sz w:val="28"/>
          <w:szCs w:val="28"/>
          <w:lang w:val="vi-VN"/>
        </w:rPr>
        <w:t>hảo sát địa chất</w:t>
      </w:r>
      <w:r w:rsidRPr="00B043CD">
        <w:rPr>
          <w:sz w:val="28"/>
          <w:szCs w:val="28"/>
        </w:rPr>
        <w:t xml:space="preserve"> công trình: Chuyên môn được đào tạo thuộc một trong các </w:t>
      </w:r>
      <w:r w:rsidRPr="00B043CD">
        <w:rPr>
          <w:sz w:val="28"/>
          <w:szCs w:val="28"/>
          <w:lang w:val="vi-VN"/>
        </w:rPr>
        <w:t>chuyên ngành</w:t>
      </w:r>
      <w:r w:rsidRPr="00B043CD">
        <w:rPr>
          <w:sz w:val="28"/>
          <w:szCs w:val="28"/>
        </w:rPr>
        <w:t>:</w:t>
      </w:r>
      <w:r w:rsidRPr="00B043CD">
        <w:rPr>
          <w:sz w:val="28"/>
          <w:szCs w:val="28"/>
          <w:lang w:val="vi-VN"/>
        </w:rPr>
        <w:t xml:space="preserve"> địa chất</w:t>
      </w:r>
      <w:r w:rsidRPr="00B043CD">
        <w:rPr>
          <w:sz w:val="28"/>
          <w:szCs w:val="28"/>
        </w:rPr>
        <w:t>, xây dựng công trì</w:t>
      </w:r>
      <w:r w:rsidR="00A06692" w:rsidRPr="00B043CD">
        <w:rPr>
          <w:sz w:val="28"/>
          <w:szCs w:val="28"/>
        </w:rPr>
        <w:t>nh.</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2. Đối với lĩnh vực</w:t>
      </w:r>
      <w:r w:rsidRPr="00B043CD">
        <w:rPr>
          <w:sz w:val="28"/>
          <w:szCs w:val="28"/>
          <w:lang w:val="vi-VN"/>
        </w:rPr>
        <w:t xml:space="preserve"> hành nghề thiết kế quy hoạch xây dựng</w:t>
      </w:r>
      <w:r w:rsidRPr="00B043CD">
        <w:rPr>
          <w:sz w:val="28"/>
          <w:szCs w:val="28"/>
        </w:rPr>
        <w:t xml:space="preserve">: Chuyên môn được đào tạo thuộc một trong các </w:t>
      </w:r>
      <w:r w:rsidRPr="00B043CD">
        <w:rPr>
          <w:sz w:val="28"/>
          <w:szCs w:val="28"/>
          <w:lang w:val="vi-VN"/>
        </w:rPr>
        <w:t>chuyên ngành</w:t>
      </w:r>
      <w:r w:rsidRPr="00B043CD">
        <w:rPr>
          <w:sz w:val="28"/>
          <w:szCs w:val="28"/>
        </w:rPr>
        <w:t>:</w:t>
      </w:r>
      <w:r w:rsidRPr="00B043CD">
        <w:rPr>
          <w:sz w:val="28"/>
          <w:szCs w:val="28"/>
          <w:lang w:val="vi-VN"/>
        </w:rPr>
        <w:t xml:space="preserve"> kiến trúc</w:t>
      </w:r>
      <w:r w:rsidRPr="00B043CD">
        <w:rPr>
          <w:sz w:val="28"/>
          <w:szCs w:val="28"/>
        </w:rPr>
        <w:t>,</w:t>
      </w:r>
      <w:r w:rsidRPr="00B043CD">
        <w:rPr>
          <w:sz w:val="28"/>
          <w:szCs w:val="28"/>
          <w:lang w:val="vi-VN"/>
        </w:rPr>
        <w:t xml:space="preserve"> quy hoạch xây dựng</w:t>
      </w:r>
      <w:r w:rsidRPr="00B043CD">
        <w:rPr>
          <w:sz w:val="28"/>
          <w:szCs w:val="28"/>
        </w:rPr>
        <w:t xml:space="preserve">, kinh tế </w:t>
      </w:r>
      <w:r w:rsidRPr="00B043CD">
        <w:rPr>
          <w:sz w:val="28"/>
          <w:szCs w:val="28"/>
          <w:lang w:val="vi-VN"/>
        </w:rPr>
        <w:t>đô thị</w:t>
      </w:r>
      <w:r w:rsidRPr="00B043CD">
        <w:rPr>
          <w:sz w:val="28"/>
          <w:szCs w:val="28"/>
        </w:rPr>
        <w:t>, hạ tầng kỹ thuật hoặc các chuyên ngành có liên quan đến yêu cầu của việc lập đồ án quy hoạch xây dựng.</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3.</w:t>
      </w:r>
      <w:r w:rsidR="00B043CD">
        <w:rPr>
          <w:sz w:val="28"/>
          <w:szCs w:val="28"/>
        </w:rPr>
        <w:t xml:space="preserve"> </w:t>
      </w:r>
      <w:r w:rsidRPr="00B043CD">
        <w:rPr>
          <w:sz w:val="28"/>
          <w:szCs w:val="28"/>
        </w:rPr>
        <w:t>Đối với lĩnh vực</w:t>
      </w:r>
      <w:r w:rsidRPr="00B043CD">
        <w:rPr>
          <w:sz w:val="28"/>
          <w:szCs w:val="28"/>
          <w:lang w:val="vi-VN"/>
        </w:rPr>
        <w:t xml:space="preserve"> hành nghề thiết kế</w:t>
      </w:r>
      <w:r w:rsidRPr="00B043CD">
        <w:rPr>
          <w:sz w:val="28"/>
          <w:szCs w:val="28"/>
        </w:rPr>
        <w:t xml:space="preserve"> xây dựng công trình</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a) </w:t>
      </w:r>
      <w:r w:rsidRPr="00B043CD">
        <w:rPr>
          <w:sz w:val="28"/>
          <w:szCs w:val="28"/>
          <w:lang w:val="vi-VN"/>
        </w:rPr>
        <w:t>Thiết kế kiến trúc công trình</w:t>
      </w:r>
      <w:r w:rsidRPr="00B043CD">
        <w:rPr>
          <w:sz w:val="28"/>
          <w:szCs w:val="28"/>
        </w:rPr>
        <w:t>: Chuyên môn được đào t</w:t>
      </w:r>
      <w:r w:rsidR="00A06692" w:rsidRPr="00B043CD">
        <w:rPr>
          <w:sz w:val="28"/>
          <w:szCs w:val="28"/>
        </w:rPr>
        <w:t>ạo thuộc chuyên ngành kiến trúc;</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b) </w:t>
      </w:r>
      <w:r w:rsidRPr="00B043CD">
        <w:rPr>
          <w:sz w:val="28"/>
          <w:szCs w:val="28"/>
          <w:lang w:val="vi-VN"/>
        </w:rPr>
        <w:t>Thiết kế kết cấu công trình</w:t>
      </w:r>
      <w:r w:rsidRPr="00B043CD">
        <w:rPr>
          <w:sz w:val="28"/>
          <w:szCs w:val="28"/>
        </w:rPr>
        <w:t xml:space="preserve"> dân dụng - công nghiệp</w:t>
      </w:r>
      <w:r w:rsidRPr="00B043CD">
        <w:rPr>
          <w:sz w:val="28"/>
          <w:szCs w:val="28"/>
          <w:lang w:val="vi-VN"/>
        </w:rPr>
        <w:t>:</w:t>
      </w:r>
      <w:r w:rsidRPr="00B043CD">
        <w:rPr>
          <w:sz w:val="28"/>
          <w:szCs w:val="28"/>
        </w:rPr>
        <w:t xml:space="preserve"> C</w:t>
      </w:r>
      <w:r w:rsidRPr="00B043CD">
        <w:rPr>
          <w:sz w:val="28"/>
          <w:szCs w:val="28"/>
          <w:lang w:val="vi-VN"/>
        </w:rPr>
        <w:t xml:space="preserve">huyên môn </w:t>
      </w:r>
      <w:r w:rsidRPr="00B043CD">
        <w:rPr>
          <w:sz w:val="28"/>
          <w:szCs w:val="28"/>
        </w:rPr>
        <w:t xml:space="preserve">được </w:t>
      </w:r>
      <w:r w:rsidRPr="00B043CD">
        <w:rPr>
          <w:sz w:val="28"/>
          <w:szCs w:val="28"/>
          <w:lang w:val="vi-VN"/>
        </w:rPr>
        <w:t xml:space="preserve">đào tạo thuộc chuyên ngành xây dựng </w:t>
      </w:r>
      <w:r w:rsidRPr="00B043CD">
        <w:rPr>
          <w:sz w:val="28"/>
          <w:szCs w:val="28"/>
        </w:rPr>
        <w:t xml:space="preserve">công trình mà trong nội dung chương trình đào tạo có môn học về các loại </w:t>
      </w:r>
      <w:r w:rsidRPr="00B043CD">
        <w:rPr>
          <w:sz w:val="28"/>
          <w:szCs w:val="28"/>
          <w:lang w:val="vi-VN"/>
        </w:rPr>
        <w:t xml:space="preserve">kết cấu công trình dân dụng </w:t>
      </w:r>
      <w:r w:rsidRPr="00B043CD">
        <w:rPr>
          <w:sz w:val="28"/>
          <w:szCs w:val="28"/>
        </w:rPr>
        <w:t>-</w:t>
      </w:r>
      <w:r w:rsidRPr="00B043CD">
        <w:rPr>
          <w:sz w:val="28"/>
          <w:szCs w:val="28"/>
          <w:lang w:val="vi-VN"/>
        </w:rPr>
        <w:t xml:space="preserve"> công nghiệp</w:t>
      </w:r>
      <w:r w:rsidR="00A06692"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c) Thiết kế cơ - điện công trình: C</w:t>
      </w:r>
      <w:r w:rsidRPr="00B043CD">
        <w:rPr>
          <w:sz w:val="28"/>
          <w:szCs w:val="28"/>
          <w:lang w:val="vi-VN"/>
        </w:rPr>
        <w:t xml:space="preserve">huyên môn được đào tạo thuộc chuyên ngành </w:t>
      </w:r>
      <w:r w:rsidRPr="00B043CD">
        <w:rPr>
          <w:sz w:val="28"/>
          <w:szCs w:val="28"/>
        </w:rPr>
        <w:t xml:space="preserve">kỹ thuật </w:t>
      </w:r>
      <w:r w:rsidRPr="00B043CD">
        <w:rPr>
          <w:sz w:val="28"/>
          <w:szCs w:val="28"/>
          <w:lang w:val="vi-VN"/>
        </w:rPr>
        <w:t>có liên quan đến thiết kế các hệ thống kỹ thuật điện, cơ khí, thông gió - cấp thoát nhiệt</w:t>
      </w:r>
      <w:r w:rsidR="00A06692"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d) Thiết kế cấp - thoát nước công trình: C</w:t>
      </w:r>
      <w:r w:rsidRPr="00B043CD">
        <w:rPr>
          <w:sz w:val="28"/>
          <w:szCs w:val="28"/>
          <w:lang w:val="vi-VN"/>
        </w:rPr>
        <w:t xml:space="preserve">huyên môn được đào tạo thuộc chuyên ngành </w:t>
      </w:r>
      <w:r w:rsidRPr="00B043CD">
        <w:rPr>
          <w:sz w:val="28"/>
          <w:szCs w:val="28"/>
        </w:rPr>
        <w:t>kỹ thuật có liên quan đến thiết kế cấp - thoát nước</w:t>
      </w:r>
      <w:r w:rsidR="00A06692"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đ) Thiết kế xây dựng công trình giao thông: C</w:t>
      </w:r>
      <w:r w:rsidRPr="00B043CD">
        <w:rPr>
          <w:sz w:val="28"/>
          <w:szCs w:val="28"/>
          <w:lang w:val="vi-VN"/>
        </w:rPr>
        <w:t>huyên môn được đào tạo thuộc chuyên ngành xây dựng công trình</w:t>
      </w:r>
      <w:r w:rsidRPr="00B043CD">
        <w:rPr>
          <w:sz w:val="28"/>
          <w:szCs w:val="28"/>
        </w:rPr>
        <w:t xml:space="preserve"> giao thông</w:t>
      </w:r>
      <w:r w:rsidR="00A06692"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e) Thiết kế xây dựng công trình nông nghiệp và phát triển nông thôn: C</w:t>
      </w:r>
      <w:r w:rsidRPr="00B043CD">
        <w:rPr>
          <w:sz w:val="28"/>
          <w:szCs w:val="28"/>
          <w:lang w:val="vi-VN"/>
        </w:rPr>
        <w:t xml:space="preserve">huyên môn được đào tạo thuộc chuyên ngành </w:t>
      </w:r>
      <w:r w:rsidRPr="00B043CD">
        <w:rPr>
          <w:sz w:val="28"/>
          <w:szCs w:val="28"/>
        </w:rPr>
        <w:t xml:space="preserve">xây dựng công trình có liên quan đến thiết kế các loại </w:t>
      </w:r>
      <w:r w:rsidRPr="00B043CD">
        <w:rPr>
          <w:sz w:val="28"/>
          <w:szCs w:val="28"/>
          <w:lang w:val="vi-VN"/>
        </w:rPr>
        <w:t>công trình nông nghiệp và phát triển nông thôn</w:t>
      </w:r>
      <w:r w:rsidR="00A06692"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g) Thiết kế xây dựng công trình hạ tầng kỹ thuật: C</w:t>
      </w:r>
      <w:r w:rsidRPr="00B043CD">
        <w:rPr>
          <w:sz w:val="28"/>
          <w:szCs w:val="28"/>
          <w:lang w:val="vi-VN"/>
        </w:rPr>
        <w:t xml:space="preserve">huyên môn được đào tạo thuộc chuyên ngành </w:t>
      </w:r>
      <w:r w:rsidRPr="00B043CD">
        <w:rPr>
          <w:sz w:val="28"/>
          <w:szCs w:val="28"/>
        </w:rPr>
        <w:t xml:space="preserve">kỹ thuật có liên quan đến thiết kế các loại </w:t>
      </w:r>
      <w:r w:rsidRPr="00B043CD">
        <w:rPr>
          <w:sz w:val="28"/>
          <w:szCs w:val="28"/>
          <w:lang w:val="vi-VN"/>
        </w:rPr>
        <w:t>công trình hạ tầng kỹ thuật</w:t>
      </w:r>
      <w:r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4. </w:t>
      </w:r>
      <w:r w:rsidRPr="00B043CD">
        <w:rPr>
          <w:sz w:val="28"/>
          <w:szCs w:val="28"/>
          <w:lang w:val="vi-VN"/>
        </w:rPr>
        <w:t xml:space="preserve">Đối với lĩnh vực hành nghề giám sát </w:t>
      </w:r>
      <w:r w:rsidRPr="00B043CD">
        <w:rPr>
          <w:sz w:val="28"/>
          <w:szCs w:val="28"/>
        </w:rPr>
        <w:t>thi công</w:t>
      </w:r>
      <w:r w:rsidRPr="00B043CD">
        <w:rPr>
          <w:sz w:val="28"/>
          <w:szCs w:val="28"/>
          <w:lang w:val="vi-VN"/>
        </w:rPr>
        <w:t xml:space="preserve"> xây dựng</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a) </w:t>
      </w:r>
      <w:r w:rsidRPr="00B043CD">
        <w:rPr>
          <w:sz w:val="28"/>
          <w:szCs w:val="28"/>
          <w:lang w:val="vi-VN"/>
        </w:rPr>
        <w:t xml:space="preserve">Giám sát </w:t>
      </w:r>
      <w:r w:rsidRPr="00B043CD">
        <w:rPr>
          <w:sz w:val="28"/>
          <w:szCs w:val="28"/>
        </w:rPr>
        <w:t>công tác</w:t>
      </w:r>
      <w:r w:rsidRPr="00B043CD">
        <w:rPr>
          <w:sz w:val="28"/>
          <w:szCs w:val="28"/>
          <w:lang w:val="vi-VN"/>
        </w:rPr>
        <w:t xml:space="preserve"> xây dựng</w:t>
      </w:r>
      <w:r w:rsidRPr="00B043CD">
        <w:rPr>
          <w:sz w:val="28"/>
          <w:szCs w:val="28"/>
        </w:rPr>
        <w:t xml:space="preserve"> công trình: Chuyên môn</w:t>
      </w:r>
      <w:r w:rsidRPr="00B043CD">
        <w:rPr>
          <w:sz w:val="28"/>
          <w:szCs w:val="28"/>
          <w:lang w:val="vi-VN"/>
        </w:rPr>
        <w:t xml:space="preserve"> </w:t>
      </w:r>
      <w:r w:rsidRPr="00B043CD">
        <w:rPr>
          <w:sz w:val="28"/>
          <w:szCs w:val="28"/>
        </w:rPr>
        <w:t xml:space="preserve">được </w:t>
      </w:r>
      <w:r w:rsidRPr="00B043CD">
        <w:rPr>
          <w:sz w:val="28"/>
          <w:szCs w:val="28"/>
          <w:lang w:val="vi-VN"/>
        </w:rPr>
        <w:t xml:space="preserve">đào tạo thuộc </w:t>
      </w:r>
      <w:r w:rsidRPr="00B043CD">
        <w:rPr>
          <w:sz w:val="28"/>
          <w:szCs w:val="28"/>
        </w:rPr>
        <w:t xml:space="preserve">một trong các </w:t>
      </w:r>
      <w:r w:rsidRPr="00B043CD">
        <w:rPr>
          <w:sz w:val="28"/>
          <w:szCs w:val="28"/>
          <w:lang w:val="vi-VN"/>
        </w:rPr>
        <w:t>chuyên ngành</w:t>
      </w:r>
      <w:r w:rsidRPr="00B043CD">
        <w:rPr>
          <w:sz w:val="28"/>
          <w:szCs w:val="28"/>
        </w:rPr>
        <w:t>:</w:t>
      </w:r>
      <w:r w:rsidRPr="00B043CD">
        <w:rPr>
          <w:sz w:val="28"/>
          <w:szCs w:val="28"/>
          <w:lang w:val="vi-VN"/>
        </w:rPr>
        <w:t xml:space="preserve"> xây dựng công trình,</w:t>
      </w:r>
      <w:r w:rsidRPr="00B043CD">
        <w:rPr>
          <w:sz w:val="28"/>
          <w:szCs w:val="28"/>
        </w:rPr>
        <w:t xml:space="preserve"> kinh tế xây dựng, kiến trúc, chuyên ngành kỹ thuật xây dựng khác có liên quan đến </w:t>
      </w:r>
      <w:r w:rsidRPr="00B043CD">
        <w:rPr>
          <w:sz w:val="28"/>
          <w:szCs w:val="28"/>
          <w:lang w:val="vi-VN"/>
        </w:rPr>
        <w:t>xây dựng</w:t>
      </w:r>
      <w:r w:rsidRPr="00B043CD">
        <w:rPr>
          <w:sz w:val="28"/>
          <w:szCs w:val="28"/>
        </w:rPr>
        <w:t xml:space="preserve"> công trình</w:t>
      </w:r>
      <w:r w:rsidR="00A06692" w:rsidRPr="00B043CD">
        <w:rPr>
          <w:sz w:val="28"/>
          <w:szCs w:val="28"/>
        </w:rPr>
        <w:t>;</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b) </w:t>
      </w:r>
      <w:r w:rsidRPr="00B043CD">
        <w:rPr>
          <w:sz w:val="28"/>
          <w:szCs w:val="28"/>
          <w:lang w:val="vi-VN"/>
        </w:rPr>
        <w:t>Giám sát</w:t>
      </w:r>
      <w:r w:rsidRPr="00B043CD">
        <w:rPr>
          <w:sz w:val="28"/>
          <w:szCs w:val="28"/>
        </w:rPr>
        <w:t xml:space="preserve"> </w:t>
      </w:r>
      <w:commentRangeStart w:id="3"/>
      <w:r w:rsidRPr="00B043CD">
        <w:rPr>
          <w:sz w:val="28"/>
          <w:szCs w:val="28"/>
        </w:rPr>
        <w:t>công tác</w:t>
      </w:r>
      <w:commentRangeEnd w:id="3"/>
      <w:r w:rsidRPr="00B043CD">
        <w:rPr>
          <w:rStyle w:val="CommentReference"/>
          <w:rFonts w:eastAsia="Calibri"/>
        </w:rPr>
        <w:commentReference w:id="3"/>
      </w:r>
      <w:r w:rsidRPr="00B043CD">
        <w:rPr>
          <w:sz w:val="28"/>
          <w:szCs w:val="28"/>
          <w:lang w:val="vi-VN"/>
        </w:rPr>
        <w:t xml:space="preserve"> lắp đặt thiết bị </w:t>
      </w:r>
      <w:r w:rsidRPr="00B043CD">
        <w:rPr>
          <w:sz w:val="28"/>
          <w:szCs w:val="28"/>
        </w:rPr>
        <w:t xml:space="preserve">vào </w:t>
      </w:r>
      <w:r w:rsidRPr="00B043CD">
        <w:rPr>
          <w:sz w:val="28"/>
          <w:szCs w:val="28"/>
          <w:lang w:val="vi-VN"/>
        </w:rPr>
        <w:t xml:space="preserve">công trình: </w:t>
      </w:r>
      <w:r w:rsidRPr="00B043CD">
        <w:rPr>
          <w:sz w:val="28"/>
          <w:szCs w:val="28"/>
        </w:rPr>
        <w:t>Chuyên môn</w:t>
      </w:r>
      <w:r w:rsidRPr="00B043CD">
        <w:rPr>
          <w:sz w:val="28"/>
          <w:szCs w:val="28"/>
          <w:lang w:val="vi-VN"/>
        </w:rPr>
        <w:t xml:space="preserve"> </w:t>
      </w:r>
      <w:r w:rsidRPr="00B043CD">
        <w:rPr>
          <w:sz w:val="28"/>
          <w:szCs w:val="28"/>
        </w:rPr>
        <w:t xml:space="preserve">được </w:t>
      </w:r>
      <w:r w:rsidRPr="00B043CD">
        <w:rPr>
          <w:sz w:val="28"/>
          <w:szCs w:val="28"/>
          <w:lang w:val="vi-VN"/>
        </w:rPr>
        <w:t xml:space="preserve">đào tạo thuộc </w:t>
      </w:r>
      <w:r w:rsidRPr="00B043CD">
        <w:rPr>
          <w:sz w:val="28"/>
          <w:szCs w:val="28"/>
        </w:rPr>
        <w:t xml:space="preserve">một trong các </w:t>
      </w:r>
      <w:r w:rsidRPr="00B043CD">
        <w:rPr>
          <w:sz w:val="28"/>
          <w:szCs w:val="28"/>
          <w:lang w:val="vi-VN"/>
        </w:rPr>
        <w:t>chuyên ngành</w:t>
      </w:r>
      <w:r w:rsidRPr="00B043CD">
        <w:rPr>
          <w:sz w:val="28"/>
          <w:szCs w:val="28"/>
        </w:rPr>
        <w:t>:</w:t>
      </w:r>
      <w:r w:rsidRPr="00B043CD">
        <w:rPr>
          <w:sz w:val="28"/>
          <w:szCs w:val="28"/>
          <w:lang w:val="vi-VN"/>
        </w:rPr>
        <w:t xml:space="preserve"> điện, cơ khí, thông gió - cấp thoát nhiệt, cấp - thoát nước</w:t>
      </w:r>
      <w:r w:rsidRPr="00B043CD">
        <w:rPr>
          <w:sz w:val="28"/>
          <w:szCs w:val="28"/>
        </w:rPr>
        <w:t>,</w:t>
      </w:r>
      <w:r w:rsidRPr="00B043CD">
        <w:rPr>
          <w:sz w:val="28"/>
          <w:szCs w:val="28"/>
          <w:lang w:val="vi-VN"/>
        </w:rPr>
        <w:t xml:space="preserve"> chuyên ngành </w:t>
      </w:r>
      <w:r w:rsidRPr="00B043CD">
        <w:rPr>
          <w:sz w:val="28"/>
          <w:szCs w:val="28"/>
        </w:rPr>
        <w:t>kỹ thuật khác có liên quan đến lắp đặt thiết bị công trình.</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t>5. </w:t>
      </w:r>
      <w:r w:rsidRPr="00B043CD">
        <w:rPr>
          <w:sz w:val="28"/>
          <w:szCs w:val="28"/>
          <w:lang w:val="vi-VN"/>
        </w:rPr>
        <w:t>Đối với lĩnh vực hành nghề định giá xây dựng</w:t>
      </w:r>
      <w:r w:rsidRPr="00B043CD">
        <w:rPr>
          <w:sz w:val="28"/>
          <w:szCs w:val="28"/>
        </w:rPr>
        <w:t>: Chuyên môn</w:t>
      </w:r>
      <w:r w:rsidRPr="00B043CD">
        <w:rPr>
          <w:sz w:val="28"/>
          <w:szCs w:val="28"/>
          <w:lang w:val="vi-VN"/>
        </w:rPr>
        <w:t xml:space="preserve"> </w:t>
      </w:r>
      <w:r w:rsidRPr="00B043CD">
        <w:rPr>
          <w:sz w:val="28"/>
          <w:szCs w:val="28"/>
        </w:rPr>
        <w:t xml:space="preserve">được </w:t>
      </w:r>
      <w:r w:rsidRPr="00B043CD">
        <w:rPr>
          <w:sz w:val="28"/>
          <w:szCs w:val="28"/>
          <w:lang w:val="vi-VN"/>
        </w:rPr>
        <w:t>đào tạo thuộc</w:t>
      </w:r>
      <w:r w:rsidRPr="00B043CD">
        <w:rPr>
          <w:sz w:val="28"/>
          <w:szCs w:val="28"/>
        </w:rPr>
        <w:t xml:space="preserve"> </w:t>
      </w:r>
      <w:r w:rsidRPr="00B043CD">
        <w:rPr>
          <w:sz w:val="28"/>
          <w:szCs w:val="28"/>
          <w:lang w:val="vi-VN"/>
        </w:rPr>
        <w:t>chuyên</w:t>
      </w:r>
      <w:r w:rsidRPr="00B043CD">
        <w:rPr>
          <w:sz w:val="28"/>
          <w:szCs w:val="28"/>
        </w:rPr>
        <w:t xml:space="preserve"> </w:t>
      </w:r>
      <w:r w:rsidRPr="00B043CD">
        <w:rPr>
          <w:sz w:val="28"/>
          <w:szCs w:val="28"/>
          <w:lang w:val="vi-VN"/>
        </w:rPr>
        <w:t>ngành</w:t>
      </w:r>
      <w:r w:rsidRPr="00B043CD">
        <w:rPr>
          <w:sz w:val="28"/>
          <w:szCs w:val="28"/>
        </w:rPr>
        <w:t xml:space="preserve"> </w:t>
      </w:r>
      <w:r w:rsidRPr="00B043CD">
        <w:rPr>
          <w:sz w:val="28"/>
          <w:szCs w:val="28"/>
          <w:lang w:val="vi-VN"/>
        </w:rPr>
        <w:t>kinh tế</w:t>
      </w:r>
      <w:r w:rsidRPr="00B043CD">
        <w:rPr>
          <w:sz w:val="28"/>
          <w:szCs w:val="28"/>
        </w:rPr>
        <w:t xml:space="preserve"> kỹ thuật hoặc chuyên ngành kỹ thuật khác có liên quan đến xây dựng công trình.</w:t>
      </w:r>
    </w:p>
    <w:p w:rsidR="00C00B84" w:rsidRPr="00B043CD" w:rsidRDefault="00C00B84" w:rsidP="00F555F7">
      <w:pPr>
        <w:pStyle w:val="NormalWeb"/>
        <w:spacing w:before="0" w:beforeAutospacing="0" w:after="120" w:afterAutospacing="0"/>
        <w:ind w:firstLine="567"/>
        <w:jc w:val="both"/>
        <w:rPr>
          <w:sz w:val="28"/>
          <w:szCs w:val="28"/>
        </w:rPr>
      </w:pPr>
      <w:r w:rsidRPr="00B043CD">
        <w:rPr>
          <w:sz w:val="28"/>
          <w:szCs w:val="28"/>
        </w:rPr>
        <w:lastRenderedPageBreak/>
        <w:t xml:space="preserve">6. Đối với lĩnh vực hành nghề quản lý dự án: Chuyên môn được đào tạo thuộc một trong các chuyên ngành: xây dựng công trình, kiến trúc, kinh tế xây dựng, chuyên ngành kỹ thuật khác </w:t>
      </w:r>
      <w:r w:rsidR="00C26B9A" w:rsidRPr="00B043CD">
        <w:rPr>
          <w:sz w:val="28"/>
          <w:szCs w:val="28"/>
        </w:rPr>
        <w:t xml:space="preserve">có liên quan đến </w:t>
      </w:r>
      <w:r w:rsidR="00F555F7">
        <w:rPr>
          <w:sz w:val="28"/>
          <w:szCs w:val="28"/>
        </w:rPr>
        <w:t>loại dự án, công trình đề nghị cấp chứng chỉ hành nghề</w:t>
      </w:r>
      <w:r w:rsidR="00C26B9A" w:rsidRPr="00B043CD">
        <w:rPr>
          <w:sz w:val="28"/>
          <w:szCs w:val="28"/>
        </w:rPr>
        <w:t>.</w:t>
      </w:r>
    </w:p>
    <w:p w:rsidR="00017A0D" w:rsidRPr="00B043CD" w:rsidRDefault="00017A0D" w:rsidP="00F555F7">
      <w:pPr>
        <w:pStyle w:val="NormalWeb"/>
        <w:spacing w:before="0" w:beforeAutospacing="0" w:after="120" w:afterAutospacing="0"/>
        <w:ind w:firstLine="567"/>
        <w:jc w:val="both"/>
        <w:rPr>
          <w:b/>
          <w:bCs/>
          <w:sz w:val="28"/>
          <w:szCs w:val="28"/>
        </w:rPr>
      </w:pPr>
      <w:bookmarkStart w:id="4" w:name="dieu_7"/>
      <w:r w:rsidRPr="00B043CD">
        <w:rPr>
          <w:b/>
          <w:bCs/>
          <w:sz w:val="28"/>
          <w:szCs w:val="28"/>
          <w:lang w:val="vi-VN"/>
        </w:rPr>
        <w:t xml:space="preserve">Điều </w:t>
      </w:r>
      <w:r w:rsidRPr="00B043CD">
        <w:rPr>
          <w:b/>
          <w:bCs/>
          <w:sz w:val="28"/>
          <w:szCs w:val="28"/>
        </w:rPr>
        <w:t>3</w:t>
      </w:r>
      <w:r w:rsidRPr="00B043CD">
        <w:rPr>
          <w:b/>
          <w:bCs/>
          <w:sz w:val="28"/>
          <w:szCs w:val="28"/>
          <w:lang w:val="vi-VN"/>
        </w:rPr>
        <w:t xml:space="preserve">. </w:t>
      </w:r>
      <w:r w:rsidRPr="00B043CD">
        <w:rPr>
          <w:b/>
          <w:bCs/>
          <w:sz w:val="28"/>
          <w:szCs w:val="28"/>
        </w:rPr>
        <w:t>Tổ chức thực hiện sát hạch</w:t>
      </w:r>
      <w:r w:rsidRPr="00B043CD">
        <w:rPr>
          <w:b/>
          <w:bCs/>
          <w:sz w:val="28"/>
          <w:szCs w:val="28"/>
          <w:lang w:val="vi-VN"/>
        </w:rPr>
        <w:t xml:space="preserve"> cấp chứng chỉ hành nghề</w:t>
      </w:r>
      <w:bookmarkEnd w:id="4"/>
      <w:r w:rsidRPr="00B043CD">
        <w:rPr>
          <w:b/>
          <w:bCs/>
          <w:sz w:val="28"/>
          <w:szCs w:val="28"/>
        </w:rPr>
        <w:t xml:space="preserve"> hoạt động xây dựng</w:t>
      </w:r>
    </w:p>
    <w:p w:rsidR="00017A0D" w:rsidRPr="00B043CD" w:rsidRDefault="00017A0D" w:rsidP="00F555F7">
      <w:pPr>
        <w:pStyle w:val="NormalWeb"/>
        <w:spacing w:before="0" w:beforeAutospacing="0" w:after="120" w:afterAutospacing="0"/>
        <w:ind w:firstLine="567"/>
        <w:jc w:val="both"/>
        <w:rPr>
          <w:sz w:val="28"/>
          <w:szCs w:val="28"/>
        </w:rPr>
      </w:pPr>
      <w:commentRangeStart w:id="5"/>
      <w:r w:rsidRPr="00B043CD">
        <w:rPr>
          <w:sz w:val="28"/>
          <w:szCs w:val="28"/>
        </w:rPr>
        <w:t xml:space="preserve">1. </w:t>
      </w:r>
      <w:commentRangeEnd w:id="5"/>
      <w:r w:rsidRPr="00B043CD">
        <w:rPr>
          <w:rStyle w:val="CommentReference"/>
          <w:rFonts w:eastAsia="Calibri"/>
          <w:sz w:val="28"/>
          <w:szCs w:val="28"/>
        </w:rPr>
        <w:commentReference w:id="5"/>
      </w:r>
      <w:r w:rsidRPr="00B043CD">
        <w:rPr>
          <w:sz w:val="28"/>
          <w:szCs w:val="28"/>
        </w:rPr>
        <w:t>Trường hợp cá nhân đề nghị cấp mới, cấp lại đối với chứng chỉ hành nghề đã hết hạn sử dụng, điều chỉnh, bổ sung lĩnh vực, nâng hạng chứng chỉ hành nghề thì đ</w:t>
      </w:r>
      <w:r w:rsidRPr="00B043CD">
        <w:rPr>
          <w:sz w:val="28"/>
          <w:szCs w:val="28"/>
          <w:lang w:val="vi-VN"/>
        </w:rPr>
        <w:t xml:space="preserve">ề sát hạch bao gồm </w:t>
      </w:r>
      <w:r w:rsidRPr="00B043CD">
        <w:rPr>
          <w:sz w:val="28"/>
          <w:szCs w:val="28"/>
        </w:rPr>
        <w:t>0</w:t>
      </w:r>
      <w:r w:rsidRPr="00B043CD">
        <w:rPr>
          <w:sz w:val="28"/>
          <w:szCs w:val="28"/>
          <w:lang w:val="vi-VN"/>
        </w:rPr>
        <w:t xml:space="preserve">5 câu hỏi về kiến thức </w:t>
      </w:r>
      <w:r w:rsidRPr="00B043CD">
        <w:rPr>
          <w:sz w:val="28"/>
          <w:szCs w:val="28"/>
        </w:rPr>
        <w:t xml:space="preserve">pháp luật và 20 câu hỏi về kinh nghiệm nghề nghiệp (kiến thức chuyên môn) </w:t>
      </w:r>
      <w:r w:rsidRPr="00B043CD">
        <w:rPr>
          <w:sz w:val="28"/>
          <w:szCs w:val="28"/>
          <w:lang w:val="vi-VN"/>
        </w:rPr>
        <w:t>có liên quan đến lĩnh vực đề nghị cấp chứng chỉ hành nghề. Thời gian sát hạch tối đa là 30 phút.</w:t>
      </w:r>
      <w:r w:rsidRPr="00B043CD">
        <w:rPr>
          <w:sz w:val="28"/>
          <w:szCs w:val="28"/>
        </w:rPr>
        <w:t xml:space="preserve"> </w:t>
      </w:r>
      <w:r w:rsidRPr="00B043CD">
        <w:rPr>
          <w:sz w:val="28"/>
          <w:szCs w:val="28"/>
          <w:lang w:val="vi-VN"/>
        </w:rPr>
        <w:t xml:space="preserve">Số </w:t>
      </w:r>
      <w:r w:rsidRPr="00B043CD">
        <w:rPr>
          <w:sz w:val="28"/>
          <w:szCs w:val="28"/>
        </w:rPr>
        <w:t>đ</w:t>
      </w:r>
      <w:r w:rsidRPr="00B043CD">
        <w:rPr>
          <w:sz w:val="28"/>
          <w:szCs w:val="28"/>
          <w:lang w:val="vi-VN"/>
        </w:rPr>
        <w:t xml:space="preserve">iểm tối đa cho mỗi đề sát hạch là 100 </w:t>
      </w:r>
      <w:r w:rsidRPr="00B043CD">
        <w:rPr>
          <w:sz w:val="28"/>
          <w:szCs w:val="28"/>
        </w:rPr>
        <w:t>đ</w:t>
      </w:r>
      <w:r w:rsidRPr="00B043CD">
        <w:rPr>
          <w:sz w:val="28"/>
          <w:szCs w:val="28"/>
          <w:lang w:val="vi-VN"/>
        </w:rPr>
        <w:t xml:space="preserve">iểm, trong đó </w:t>
      </w:r>
      <w:r w:rsidRPr="00B043CD">
        <w:rPr>
          <w:sz w:val="28"/>
          <w:szCs w:val="28"/>
        </w:rPr>
        <w:t>đ</w:t>
      </w:r>
      <w:r w:rsidRPr="00B043CD">
        <w:rPr>
          <w:sz w:val="28"/>
          <w:szCs w:val="28"/>
          <w:lang w:val="vi-VN"/>
        </w:rPr>
        <w:t xml:space="preserve">iểm tối đa cho phần </w:t>
      </w:r>
      <w:r w:rsidRPr="00B043CD">
        <w:rPr>
          <w:sz w:val="28"/>
          <w:szCs w:val="28"/>
        </w:rPr>
        <w:t xml:space="preserve">kinh nghiệm nghề nghiệp </w:t>
      </w:r>
      <w:r w:rsidRPr="00B043CD">
        <w:rPr>
          <w:sz w:val="28"/>
          <w:szCs w:val="28"/>
          <w:lang w:val="vi-VN"/>
        </w:rPr>
        <w:t xml:space="preserve">là </w:t>
      </w:r>
      <w:r w:rsidRPr="00B043CD">
        <w:rPr>
          <w:sz w:val="28"/>
          <w:szCs w:val="28"/>
        </w:rPr>
        <w:t>8</w:t>
      </w:r>
      <w:r w:rsidRPr="00B043CD">
        <w:rPr>
          <w:sz w:val="28"/>
          <w:szCs w:val="28"/>
          <w:lang w:val="vi-VN"/>
        </w:rPr>
        <w:t xml:space="preserve">0 </w:t>
      </w:r>
      <w:r w:rsidRPr="00B043CD">
        <w:rPr>
          <w:sz w:val="28"/>
          <w:szCs w:val="28"/>
        </w:rPr>
        <w:t>đ</w:t>
      </w:r>
      <w:r w:rsidRPr="00B043CD">
        <w:rPr>
          <w:sz w:val="28"/>
          <w:szCs w:val="28"/>
          <w:lang w:val="vi-VN"/>
        </w:rPr>
        <w:t xml:space="preserve">iểm, </w:t>
      </w:r>
      <w:r w:rsidRPr="00B043CD">
        <w:rPr>
          <w:sz w:val="28"/>
          <w:szCs w:val="28"/>
        </w:rPr>
        <w:t>đ</w:t>
      </w:r>
      <w:r w:rsidRPr="00B043CD">
        <w:rPr>
          <w:sz w:val="28"/>
          <w:szCs w:val="28"/>
          <w:lang w:val="vi-VN"/>
        </w:rPr>
        <w:t xml:space="preserve">iểm tối đa cho phần kiến thức pháp luật là </w:t>
      </w:r>
      <w:r w:rsidRPr="00B043CD">
        <w:rPr>
          <w:sz w:val="28"/>
          <w:szCs w:val="28"/>
        </w:rPr>
        <w:t>2</w:t>
      </w:r>
      <w:r w:rsidRPr="00B043CD">
        <w:rPr>
          <w:sz w:val="28"/>
          <w:szCs w:val="28"/>
          <w:lang w:val="vi-VN"/>
        </w:rPr>
        <w:t xml:space="preserve">0 </w:t>
      </w:r>
      <w:r w:rsidRPr="00B043CD">
        <w:rPr>
          <w:sz w:val="28"/>
          <w:szCs w:val="28"/>
        </w:rPr>
        <w:t>đ</w:t>
      </w:r>
      <w:r w:rsidRPr="00B043CD">
        <w:rPr>
          <w:sz w:val="28"/>
          <w:szCs w:val="28"/>
          <w:lang w:val="vi-VN"/>
        </w:rPr>
        <w:t xml:space="preserve">iểm. Cá nhân có kết quả sát hạch </w:t>
      </w:r>
      <w:r w:rsidRPr="00B043CD">
        <w:rPr>
          <w:sz w:val="28"/>
          <w:szCs w:val="28"/>
        </w:rPr>
        <w:t xml:space="preserve">phần kiến thức pháp luật tối thiểu 16 điểm và tổng điểm </w:t>
      </w:r>
      <w:r w:rsidRPr="00B043CD">
        <w:rPr>
          <w:sz w:val="28"/>
          <w:szCs w:val="28"/>
          <w:lang w:val="vi-VN"/>
        </w:rPr>
        <w:t xml:space="preserve">từ 80 </w:t>
      </w:r>
      <w:r w:rsidRPr="00B043CD">
        <w:rPr>
          <w:sz w:val="28"/>
          <w:szCs w:val="28"/>
        </w:rPr>
        <w:t>đ</w:t>
      </w:r>
      <w:r w:rsidRPr="00B043CD">
        <w:rPr>
          <w:sz w:val="28"/>
          <w:szCs w:val="28"/>
          <w:lang w:val="vi-VN"/>
        </w:rPr>
        <w:t>iểm trở lên</w:t>
      </w:r>
      <w:r w:rsidRPr="00B043CD">
        <w:rPr>
          <w:sz w:val="28"/>
          <w:szCs w:val="28"/>
        </w:rPr>
        <w:t xml:space="preserve"> thì</w:t>
      </w:r>
      <w:r w:rsidRPr="00B043CD">
        <w:rPr>
          <w:sz w:val="28"/>
          <w:szCs w:val="28"/>
          <w:lang w:val="vi-VN"/>
        </w:rPr>
        <w:t xml:space="preserve"> đạt yêu cầu để xem xét cấp chứng chỉ hành nghề.</w:t>
      </w:r>
    </w:p>
    <w:p w:rsidR="00017A0D" w:rsidRPr="00B043CD" w:rsidRDefault="00017A0D" w:rsidP="00F555F7">
      <w:pPr>
        <w:pStyle w:val="NormalWeb"/>
        <w:spacing w:before="0" w:beforeAutospacing="0" w:after="120" w:afterAutospacing="0"/>
        <w:ind w:firstLine="567"/>
        <w:jc w:val="both"/>
        <w:rPr>
          <w:sz w:val="28"/>
          <w:szCs w:val="28"/>
        </w:rPr>
      </w:pPr>
      <w:r w:rsidRPr="00B043CD">
        <w:rPr>
          <w:sz w:val="28"/>
          <w:szCs w:val="28"/>
        </w:rPr>
        <w:t xml:space="preserve">2. </w:t>
      </w:r>
      <w:r w:rsidRPr="00B043CD">
        <w:rPr>
          <w:sz w:val="28"/>
          <w:szCs w:val="28"/>
          <w:lang w:val="vi-VN"/>
        </w:rPr>
        <w:t xml:space="preserve">Trường hợp cá nhân </w:t>
      </w:r>
      <w:r w:rsidRPr="00B043CD">
        <w:rPr>
          <w:sz w:val="28"/>
          <w:szCs w:val="28"/>
        </w:rPr>
        <w:t>được miễn sát hạch về kiến thức chuyên môn thì đề sát hạch bao gồm 10 câu về kiến thức pháp luật. Thời gian sát hạch tối đa là 12 phút. Số điểm tối đa cho mỗi đề sát hạch là 40 điểm. C</w:t>
      </w:r>
      <w:r w:rsidRPr="00B043CD">
        <w:rPr>
          <w:sz w:val="28"/>
          <w:szCs w:val="28"/>
          <w:lang w:val="vi-VN"/>
        </w:rPr>
        <w:t xml:space="preserve">á nhân có kết quả sát hạch từ 32 điểm trở lên </w:t>
      </w:r>
      <w:r w:rsidRPr="00B043CD">
        <w:rPr>
          <w:sz w:val="28"/>
          <w:szCs w:val="28"/>
        </w:rPr>
        <w:t>thì</w:t>
      </w:r>
      <w:r w:rsidRPr="00B043CD">
        <w:rPr>
          <w:sz w:val="28"/>
          <w:szCs w:val="28"/>
          <w:lang w:val="vi-VN"/>
        </w:rPr>
        <w:t xml:space="preserve"> đạt yêu cầu để xem xét cấp chứng chỉ hành nghề</w:t>
      </w:r>
      <w:r w:rsidRPr="00B043CD">
        <w:rPr>
          <w:sz w:val="28"/>
          <w:szCs w:val="28"/>
        </w:rPr>
        <w:t>.</w:t>
      </w:r>
    </w:p>
    <w:p w:rsidR="00017A0D" w:rsidRPr="00B043CD" w:rsidRDefault="00017A0D" w:rsidP="00F555F7">
      <w:pPr>
        <w:pStyle w:val="NormalWeb"/>
        <w:spacing w:before="0" w:beforeAutospacing="0" w:after="120" w:afterAutospacing="0"/>
        <w:ind w:firstLine="567"/>
        <w:jc w:val="both"/>
        <w:rPr>
          <w:sz w:val="28"/>
          <w:szCs w:val="28"/>
        </w:rPr>
      </w:pPr>
      <w:r w:rsidRPr="00B043CD">
        <w:rPr>
          <w:sz w:val="28"/>
          <w:szCs w:val="28"/>
        </w:rPr>
        <w:t>3. Cá nhân đề nghị cấp lại chứng chỉ hành nghề trong trường hợp chứng chỉ hành nghề còn hiệu lực nhưng bị mất hoặc hư hỏng thì không yêu cầu sát hạch.</w:t>
      </w:r>
    </w:p>
    <w:p w:rsidR="00017A0D" w:rsidRPr="00B043CD" w:rsidRDefault="00017A0D" w:rsidP="00F555F7">
      <w:pPr>
        <w:spacing w:after="120" w:line="240" w:lineRule="auto"/>
        <w:ind w:firstLine="567"/>
        <w:jc w:val="both"/>
        <w:rPr>
          <w:szCs w:val="28"/>
        </w:rPr>
      </w:pPr>
      <w:bookmarkStart w:id="6" w:name="khoan_4_8"/>
      <w:r w:rsidRPr="00B043CD">
        <w:rPr>
          <w:szCs w:val="28"/>
        </w:rPr>
        <w:t>4. Đối với cá nhân nộp hồ sơ đề nghị cấp chứng chỉ hành nghề hoạt động xây dựng nhưng chưa có kết quả sát hạch thì thời hạn xét cấp chứng chỉ hành nghề theo quy định tại khoản 17 Điều 1 Nghị định số 100/2018/NĐ-CP được tính kể từ thời điểm có kết quả sát hạch.</w:t>
      </w:r>
      <w:bookmarkEnd w:id="6"/>
    </w:p>
    <w:p w:rsidR="00017A0D" w:rsidRPr="00B043CD" w:rsidRDefault="00017A0D" w:rsidP="00F555F7">
      <w:pPr>
        <w:spacing w:after="120" w:line="240" w:lineRule="auto"/>
        <w:ind w:firstLine="567"/>
        <w:jc w:val="both"/>
        <w:rPr>
          <w:szCs w:val="28"/>
        </w:rPr>
      </w:pPr>
      <w:r w:rsidRPr="00B043CD">
        <w:rPr>
          <w:szCs w:val="28"/>
        </w:rPr>
        <w:t>5. Cơ quan có thẩm quyền cấp chứng chỉ hành nghề thông báo thời gian, địa điểm và danh sách cá nhân đủ/không đủ</w:t>
      </w:r>
      <w:commentRangeStart w:id="7"/>
      <w:r w:rsidRPr="00B043CD">
        <w:rPr>
          <w:szCs w:val="28"/>
        </w:rPr>
        <w:t xml:space="preserve"> điều kiện sát hạch</w:t>
      </w:r>
      <w:commentRangeEnd w:id="7"/>
      <w:r w:rsidRPr="00B043CD">
        <w:rPr>
          <w:rStyle w:val="CommentReference"/>
        </w:rPr>
        <w:commentReference w:id="7"/>
      </w:r>
      <w:r w:rsidRPr="00B043CD">
        <w:rPr>
          <w:szCs w:val="28"/>
        </w:rPr>
        <w:t xml:space="preserve"> trước thời gian tổ chức sát hạch ít nhất 03 ngày. </w:t>
      </w:r>
    </w:p>
    <w:p w:rsidR="001151B4" w:rsidRPr="00B043CD" w:rsidRDefault="001151B4" w:rsidP="00F555F7">
      <w:pPr>
        <w:spacing w:after="120" w:line="240" w:lineRule="auto"/>
        <w:ind w:firstLine="567"/>
        <w:jc w:val="both"/>
        <w:rPr>
          <w:b/>
          <w:szCs w:val="28"/>
        </w:rPr>
      </w:pPr>
      <w:r w:rsidRPr="00B043CD">
        <w:rPr>
          <w:b/>
          <w:szCs w:val="28"/>
        </w:rPr>
        <w:t xml:space="preserve">Điều </w:t>
      </w:r>
      <w:r w:rsidR="0078301F" w:rsidRPr="00B043CD">
        <w:rPr>
          <w:b/>
          <w:szCs w:val="28"/>
        </w:rPr>
        <w:t>4</w:t>
      </w:r>
      <w:r w:rsidR="00971378" w:rsidRPr="00B043CD">
        <w:rPr>
          <w:b/>
          <w:szCs w:val="28"/>
        </w:rPr>
        <w:t>. Đánh giá</w:t>
      </w:r>
      <w:r w:rsidRPr="00B043CD">
        <w:rPr>
          <w:b/>
          <w:szCs w:val="28"/>
        </w:rPr>
        <w:t xml:space="preserve"> cấp chứng chỉ năng lực hoạt động xây dựng</w:t>
      </w:r>
    </w:p>
    <w:p w:rsidR="001151B4" w:rsidRPr="00B043CD" w:rsidRDefault="001151B4" w:rsidP="00F555F7">
      <w:pPr>
        <w:spacing w:after="120" w:line="240" w:lineRule="auto"/>
        <w:ind w:firstLine="567"/>
        <w:jc w:val="both"/>
        <w:rPr>
          <w:szCs w:val="28"/>
        </w:rPr>
      </w:pPr>
      <w:r w:rsidRPr="00B043CD">
        <w:rPr>
          <w:szCs w:val="28"/>
        </w:rPr>
        <w:t>1. Hội đồng xét cấp chứng chỉ năng lực hoạt động xây dựng có trách nhiệm đánh giá năng lực hoạt động xây dựng của tổ chức theo các điều kiện tương ứng với từng hạng và lĩnh vực hoạt động xây dự</w:t>
      </w:r>
      <w:r w:rsidR="00F555F7">
        <w:rPr>
          <w:szCs w:val="28"/>
        </w:rPr>
        <w:t>ng</w:t>
      </w:r>
      <w:r w:rsidR="00A06692" w:rsidRPr="00B043CD">
        <w:rPr>
          <w:szCs w:val="28"/>
        </w:rPr>
        <w:t xml:space="preserve"> được </w:t>
      </w:r>
      <w:r w:rsidRPr="00B043CD">
        <w:rPr>
          <w:szCs w:val="28"/>
        </w:rPr>
        <w:t>quy định tại Nghị định số 100/2018/NĐ-CP và Điều này. Tổ chức được cấp chứng chỉ năng lực hoạt động xây dựng khi các điều kiện được đánh giá là đạt yêu cầu.</w:t>
      </w:r>
    </w:p>
    <w:p w:rsidR="001151B4" w:rsidRPr="00B043CD" w:rsidRDefault="001151B4" w:rsidP="00F555F7">
      <w:pPr>
        <w:spacing w:after="120" w:line="240" w:lineRule="auto"/>
        <w:ind w:firstLine="567"/>
        <w:jc w:val="both"/>
        <w:rPr>
          <w:szCs w:val="28"/>
        </w:rPr>
      </w:pPr>
      <w:r w:rsidRPr="00B043CD">
        <w:rPr>
          <w:szCs w:val="28"/>
        </w:rPr>
        <w:t>2. Tương ứng với từng hạng và lĩnh vực đề nghị cấp chứng chỉ năng lực hoạt động xây dựng, tổ chức phải có cá nhân đảm nhận các chức danh yêu cầu phải có chứng chỉ hành nghề</w:t>
      </w:r>
      <w:r w:rsidR="00C00B84" w:rsidRPr="00B043CD">
        <w:rPr>
          <w:szCs w:val="28"/>
        </w:rPr>
        <w:t>;</w:t>
      </w:r>
      <w:r w:rsidR="00DA05BE" w:rsidRPr="00B043CD">
        <w:rPr>
          <w:szCs w:val="28"/>
        </w:rPr>
        <w:t xml:space="preserve"> cá nhân tham gia thực hiện công việc có chuyên môn phù hợp</w:t>
      </w:r>
      <w:r w:rsidRPr="00B043CD">
        <w:rPr>
          <w:szCs w:val="28"/>
        </w:rPr>
        <w:t xml:space="preserve"> theo quy định. Mỗi cá nhân thuộc tổ chức có thể đảm nhận một hoặc nhiều chức danh yêu cầu phải có chứng chỉ hành nghề</w:t>
      </w:r>
      <w:r w:rsidR="00402003" w:rsidRPr="00B043CD">
        <w:rPr>
          <w:szCs w:val="28"/>
        </w:rPr>
        <w:t>, tham gia thực hiện các công việc</w:t>
      </w:r>
      <w:r w:rsidRPr="00B043CD">
        <w:rPr>
          <w:szCs w:val="28"/>
        </w:rPr>
        <w:t xml:space="preserve"> khi đáp ứng được điều kiện năng lực tương ứng theo quy định. </w:t>
      </w:r>
    </w:p>
    <w:p w:rsidR="001151B4" w:rsidRPr="00B043CD" w:rsidRDefault="001151B4" w:rsidP="00F555F7">
      <w:pPr>
        <w:spacing w:after="120" w:line="240" w:lineRule="auto"/>
        <w:ind w:firstLine="567"/>
        <w:jc w:val="both"/>
        <w:rPr>
          <w:szCs w:val="28"/>
        </w:rPr>
      </w:pPr>
      <w:r w:rsidRPr="00B043CD">
        <w:rPr>
          <w:szCs w:val="28"/>
        </w:rPr>
        <w:lastRenderedPageBreak/>
        <w:t xml:space="preserve">Cá nhân tham gia thực hiện công việc </w:t>
      </w:r>
      <w:r w:rsidR="00E92AAF" w:rsidRPr="00B043CD">
        <w:rPr>
          <w:szCs w:val="28"/>
        </w:rPr>
        <w:t>của</w:t>
      </w:r>
      <w:r w:rsidRPr="00B043CD">
        <w:rPr>
          <w:szCs w:val="28"/>
        </w:rPr>
        <w:t xml:space="preserve"> tổ chức được xác định là phù hợp với lĩnh vực hoặc loại hình đề nghị cấp chứng chỉ năng lực khi có </w:t>
      </w:r>
      <w:r w:rsidR="00EA3E93" w:rsidRPr="00B043CD">
        <w:rPr>
          <w:szCs w:val="28"/>
        </w:rPr>
        <w:t xml:space="preserve">trình độ </w:t>
      </w:r>
      <w:r w:rsidRPr="00B043CD">
        <w:rPr>
          <w:szCs w:val="28"/>
        </w:rPr>
        <w:t xml:space="preserve">chuyên môn được đào tạo </w:t>
      </w:r>
      <w:r w:rsidR="00EA3E93" w:rsidRPr="00B043CD">
        <w:rPr>
          <w:szCs w:val="28"/>
        </w:rPr>
        <w:t>tương ứng</w:t>
      </w:r>
      <w:r w:rsidRPr="00B043CD">
        <w:rPr>
          <w:szCs w:val="28"/>
        </w:rPr>
        <w:t xml:space="preserve"> theo quy định tại Điều 2 Thông tư này</w:t>
      </w:r>
      <w:r w:rsidR="000143AE" w:rsidRPr="00B043CD">
        <w:rPr>
          <w:szCs w:val="28"/>
        </w:rPr>
        <w:t xml:space="preserve"> phù hợp với công việc đảm nhận.</w:t>
      </w:r>
      <w:r w:rsidRPr="00B043CD">
        <w:rPr>
          <w:szCs w:val="28"/>
        </w:rPr>
        <w:t xml:space="preserve"> </w:t>
      </w:r>
      <w:r w:rsidR="000143AE" w:rsidRPr="00B043CD">
        <w:rPr>
          <w:szCs w:val="28"/>
        </w:rPr>
        <w:t>Riêng t</w:t>
      </w:r>
      <w:r w:rsidR="00EA3E93" w:rsidRPr="00B043CD">
        <w:rPr>
          <w:szCs w:val="28"/>
        </w:rPr>
        <w:t xml:space="preserve">rường hợp cá nhân phụ trách thi công phải có trình độ chuyên môn được đào tạo tương ứng với trình độ chuyên môn được đào tạo của cá nhân đề nghị cấp chứng chỉ hành nghề giám sát thi công xây dựng. </w:t>
      </w:r>
    </w:p>
    <w:p w:rsidR="001151B4" w:rsidRPr="00B043CD" w:rsidRDefault="00DA05BE" w:rsidP="00F555F7">
      <w:pPr>
        <w:spacing w:after="120" w:line="240" w:lineRule="auto"/>
        <w:ind w:firstLine="567"/>
        <w:jc w:val="both"/>
      </w:pPr>
      <w:r w:rsidRPr="00B043CD">
        <w:rPr>
          <w:szCs w:val="28"/>
        </w:rPr>
        <w:t>3</w:t>
      </w:r>
      <w:r w:rsidR="001151B4" w:rsidRPr="00B043CD">
        <w:rPr>
          <w:szCs w:val="28"/>
        </w:rPr>
        <w:t>.</w:t>
      </w:r>
      <w:r w:rsidR="001151B4" w:rsidRPr="00B043CD">
        <w:t xml:space="preserve"> </w:t>
      </w:r>
      <w:r w:rsidR="00961C34" w:rsidRPr="00B043CD">
        <w:rPr>
          <w:szCs w:val="28"/>
        </w:rPr>
        <w:t xml:space="preserve">Trường hợp tổ chức chỉ có cá nhân đảm nhận các chức danh yêu cầu phải có chứng chỉ hành nghề của một </w:t>
      </w:r>
      <w:r w:rsidR="00C26B9A" w:rsidRPr="00B043CD">
        <w:rPr>
          <w:szCs w:val="28"/>
        </w:rPr>
        <w:t xml:space="preserve">hoặc một số </w:t>
      </w:r>
      <w:r w:rsidR="00961C34" w:rsidRPr="00B043CD">
        <w:rPr>
          <w:szCs w:val="28"/>
        </w:rPr>
        <w:t>lĩnh vực</w:t>
      </w:r>
      <w:r w:rsidR="00C26B9A" w:rsidRPr="00B043CD">
        <w:rPr>
          <w:szCs w:val="28"/>
        </w:rPr>
        <w:t>,</w:t>
      </w:r>
      <w:r w:rsidR="00961C34" w:rsidRPr="00B043CD">
        <w:rPr>
          <w:szCs w:val="28"/>
        </w:rPr>
        <w:t xml:space="preserve"> loại hình</w:t>
      </w:r>
      <w:r w:rsidR="00A06692" w:rsidRPr="00B043CD">
        <w:rPr>
          <w:szCs w:val="28"/>
        </w:rPr>
        <w:t>,</w:t>
      </w:r>
      <w:r w:rsidR="00961C34" w:rsidRPr="00B043CD">
        <w:rPr>
          <w:szCs w:val="28"/>
        </w:rPr>
        <w:t xml:space="preserve"> bộ môn thì việc đánh giá được thực hiện như sau:</w:t>
      </w:r>
    </w:p>
    <w:p w:rsidR="001151B4" w:rsidRPr="00B043CD" w:rsidRDefault="001151B4" w:rsidP="00F555F7">
      <w:pPr>
        <w:spacing w:after="120" w:line="240" w:lineRule="auto"/>
        <w:ind w:firstLine="567"/>
        <w:jc w:val="both"/>
      </w:pPr>
      <w:r w:rsidRPr="00B043CD">
        <w:t>a) Đối với tổ chức khảo sát xây dựng</w:t>
      </w:r>
      <w:r w:rsidR="00961C34" w:rsidRPr="00B043CD">
        <w:t xml:space="preserve">: </w:t>
      </w:r>
      <w:r w:rsidRPr="00B043CD">
        <w:t>Trường hợp tổ chức kê khai cá nhân đảm nhận chức danh chủ nhiệm</w:t>
      </w:r>
      <w:r w:rsidR="009275DF" w:rsidRPr="00B043CD">
        <w:t xml:space="preserve"> khảo sát xây dựng</w:t>
      </w:r>
      <w:r w:rsidRPr="00B043CD">
        <w:t xml:space="preserve"> đối với một loại hình khảo sát xây dựng thì chỉ xét cấp chứng chỉ năng lực hoạt động xây dựng đối với loại hình khảo sát xây dự</w:t>
      </w:r>
      <w:r w:rsidR="00A06692" w:rsidRPr="00B043CD">
        <w:t>ng đó;</w:t>
      </w:r>
    </w:p>
    <w:p w:rsidR="001151B4" w:rsidRPr="00B043CD" w:rsidRDefault="001151B4" w:rsidP="00F555F7">
      <w:pPr>
        <w:spacing w:after="120" w:line="240" w:lineRule="auto"/>
        <w:ind w:firstLine="567"/>
        <w:jc w:val="both"/>
      </w:pPr>
      <w:r w:rsidRPr="00B043CD">
        <w:t>b) Đối với tổ chức lập quy hoạch xây dựng</w:t>
      </w:r>
      <w:r w:rsidR="00961C34" w:rsidRPr="00B043CD">
        <w:t>: C</w:t>
      </w:r>
      <w:r w:rsidRPr="00B043CD">
        <w:t xml:space="preserve">á nhân đảm nhận chức danh chủ nhiệm </w:t>
      </w:r>
      <w:r w:rsidR="009275DF" w:rsidRPr="00B043CD">
        <w:t>thiết kế</w:t>
      </w:r>
      <w:r w:rsidRPr="00B043CD">
        <w:t xml:space="preserve"> quy hoạch</w:t>
      </w:r>
      <w:r w:rsidR="009275DF" w:rsidRPr="00B043CD">
        <w:t xml:space="preserve"> xây dựng</w:t>
      </w:r>
      <w:r w:rsidRPr="00B043CD">
        <w:t xml:space="preserve">, chủ trì </w:t>
      </w:r>
      <w:r w:rsidR="009275DF" w:rsidRPr="00B043CD">
        <w:t xml:space="preserve">thiết kế </w:t>
      </w:r>
      <w:r w:rsidRPr="00B043CD">
        <w:t>các bộ môn kiến trúc – quy hoạch, kinh tế đô thị, hạ tầng kỹ thuật phải có chứng chỉ hành nghề thiết kế quy hoạch xây dựng</w:t>
      </w:r>
      <w:r w:rsidR="00971378" w:rsidRPr="00B043CD">
        <w:t xml:space="preserve"> phù hợp với hạng đề nghị cấp chứng chỉ của tổ chức</w:t>
      </w:r>
      <w:r w:rsidR="00A06692" w:rsidRPr="00B043CD">
        <w:t>;</w:t>
      </w:r>
    </w:p>
    <w:p w:rsidR="001151B4" w:rsidRPr="00B043CD" w:rsidRDefault="001151B4" w:rsidP="00F555F7">
      <w:pPr>
        <w:spacing w:after="120" w:line="240" w:lineRule="auto"/>
        <w:ind w:firstLine="567"/>
        <w:jc w:val="both"/>
      </w:pPr>
      <w:r w:rsidRPr="00B043CD">
        <w:t>c) Đối với tổ chức thiết kế xây dựng công trình</w:t>
      </w:r>
    </w:p>
    <w:p w:rsidR="001151B4" w:rsidRPr="00B043CD" w:rsidRDefault="001151B4" w:rsidP="00F555F7">
      <w:pPr>
        <w:spacing w:after="120" w:line="240" w:lineRule="auto"/>
        <w:ind w:firstLine="567"/>
        <w:jc w:val="both"/>
      </w:pPr>
      <w:r w:rsidRPr="00B043CD">
        <w:t xml:space="preserve">Đối với lĩnh vực thiết kế xây dựng công trình dân dụng, công nghiệp: </w:t>
      </w:r>
      <w:r w:rsidR="0048480D" w:rsidRPr="00B043CD">
        <w:t>C</w:t>
      </w:r>
      <w:r w:rsidRPr="00B043CD">
        <w:t>á nhân đảm nhận chức danh chủ nhiệm</w:t>
      </w:r>
      <w:r w:rsidR="009275DF" w:rsidRPr="00B043CD">
        <w:t xml:space="preserve"> thiết kế xây dựng</w:t>
      </w:r>
      <w:r w:rsidRPr="00B043CD">
        <w:t>, chủ trì</w:t>
      </w:r>
      <w:r w:rsidR="009275DF" w:rsidRPr="00B043CD">
        <w:t xml:space="preserve"> thiết kế</w:t>
      </w:r>
      <w:r w:rsidRPr="00B043CD">
        <w:t xml:space="preserve"> các bộ môn của thiết kế xây dựng của tổ chức phải có chứng chỉ hành nghề </w:t>
      </w:r>
      <w:r w:rsidR="00961C34" w:rsidRPr="00B043CD">
        <w:t xml:space="preserve">thiết kế xây dựng công trình bao gồm: </w:t>
      </w:r>
      <w:r w:rsidRPr="00B043CD">
        <w:t>thiết kế kiến trúc công trình, thiết kế kết cấu công trình dân dụng – công nghiệp, thiết kế cơ – điện công trình, thiết kế cấp – thoát nước công trình</w:t>
      </w:r>
      <w:r w:rsidR="00971378" w:rsidRPr="00B043CD">
        <w:t xml:space="preserve"> phù hợp với </w:t>
      </w:r>
      <w:r w:rsidR="009275DF" w:rsidRPr="00B043CD">
        <w:t xml:space="preserve">công việc đảm nhận và </w:t>
      </w:r>
      <w:r w:rsidR="00971378" w:rsidRPr="00B043CD">
        <w:t>hạng đề nghị cấp chứng chỉ của tổ chức</w:t>
      </w:r>
      <w:r w:rsidRPr="00B043CD">
        <w:t xml:space="preserve">. Trường hợp tổ chức kê khai các cá nhân đảm nhận chức danh chủ trì đối với một hoặc một số bộ môn của thiết kế xây dựng công trình thì chỉ xét cấp chứng chỉ </w:t>
      </w:r>
      <w:bookmarkStart w:id="8" w:name="_GoBack"/>
      <w:bookmarkEnd w:id="8"/>
      <w:r w:rsidRPr="00B043CD">
        <w:t>năng lực hoạt động xây dựng đối với nội dung thiết kế xây dựng công trình của bộ môn đó.</w:t>
      </w:r>
    </w:p>
    <w:p w:rsidR="001151B4" w:rsidRPr="00B043CD" w:rsidRDefault="001151B4" w:rsidP="00F555F7">
      <w:pPr>
        <w:spacing w:after="120" w:line="240" w:lineRule="auto"/>
        <w:ind w:firstLine="567"/>
        <w:jc w:val="both"/>
      </w:pPr>
      <w:r w:rsidRPr="00B043CD">
        <w:t>Đối với lĩnh vực thiết kế xây dựng công trình giao thông: Cá nhân đảm nhận chức danh chủ nhiệm</w:t>
      </w:r>
      <w:r w:rsidR="009275DF" w:rsidRPr="00B043CD">
        <w:t xml:space="preserve"> thiết kế xây dựng</w:t>
      </w:r>
      <w:r w:rsidRPr="00B043CD">
        <w:t xml:space="preserve">, chủ trì </w:t>
      </w:r>
      <w:r w:rsidR="009275DF" w:rsidRPr="00B043CD">
        <w:t xml:space="preserve">thiết kế xây dựng </w:t>
      </w:r>
      <w:r w:rsidRPr="00B043CD">
        <w:t xml:space="preserve">của tổ chức phải có chứng chỉ hành nghề thiết kế xây dựng công trình giao thông phù hợp với loại công trình </w:t>
      </w:r>
      <w:r w:rsidR="00971378" w:rsidRPr="00B043CD">
        <w:t>và hạng đề nghị cấp chứng chỉ của tổ chức</w:t>
      </w:r>
      <w:r w:rsidRPr="00B043CD">
        <w:t>.</w:t>
      </w:r>
    </w:p>
    <w:p w:rsidR="001151B4" w:rsidRPr="00B043CD" w:rsidRDefault="001151B4" w:rsidP="00F555F7">
      <w:pPr>
        <w:spacing w:after="120" w:line="240" w:lineRule="auto"/>
        <w:ind w:firstLine="567"/>
        <w:jc w:val="both"/>
      </w:pPr>
      <w:r w:rsidRPr="00B043CD">
        <w:t>Đối với lĩnh vực thiết kế xây dựng công trình nông nghiệp và phát triển nông thôn: Cá nhân đảm nhận chức danh chủ nhiệm</w:t>
      </w:r>
      <w:r w:rsidR="009275DF" w:rsidRPr="00B043CD">
        <w:t xml:space="preserve"> thiết kế xây dựng</w:t>
      </w:r>
      <w:r w:rsidRPr="00B043CD">
        <w:t xml:space="preserve">, chủ trì </w:t>
      </w:r>
      <w:r w:rsidR="009275DF" w:rsidRPr="00B043CD">
        <w:t xml:space="preserve">thiết kế xây dựng </w:t>
      </w:r>
      <w:r w:rsidRPr="00B043CD">
        <w:t xml:space="preserve">của tổ chức phải có chứng chỉ hành nghề thiết kế xây dựng công trình nông nghiệp và phát triển nông thôn phù hợp với loại công trình </w:t>
      </w:r>
      <w:r w:rsidR="00971378" w:rsidRPr="00B043CD">
        <w:t>và hạng đề nghị cấp chứng chỉ của tổ chức</w:t>
      </w:r>
      <w:r w:rsidRPr="00B043CD">
        <w:t>.</w:t>
      </w:r>
    </w:p>
    <w:p w:rsidR="001151B4" w:rsidRPr="00B043CD" w:rsidRDefault="001151B4" w:rsidP="00F555F7">
      <w:pPr>
        <w:spacing w:after="120" w:line="240" w:lineRule="auto"/>
        <w:ind w:firstLine="567"/>
        <w:jc w:val="both"/>
      </w:pPr>
      <w:r w:rsidRPr="00B043CD">
        <w:t>Đối với lĩnh vực thiết kế xây dựng công trình hạ tầng kỹ thuật: Cá nhân đảm nhận chức danh chủ nhiệm</w:t>
      </w:r>
      <w:r w:rsidR="009275DF" w:rsidRPr="00B043CD">
        <w:t xml:space="preserve"> thiết kế xây dựng</w:t>
      </w:r>
      <w:r w:rsidRPr="00B043CD">
        <w:t xml:space="preserve">, chủ trì </w:t>
      </w:r>
      <w:r w:rsidR="009275DF" w:rsidRPr="00B043CD">
        <w:t xml:space="preserve">thiết kế xây dựng </w:t>
      </w:r>
      <w:r w:rsidRPr="00B043CD">
        <w:t xml:space="preserve">của tổ chức phải có chứng chỉ hành nghề thiết kế xây dựng công trình hạ tầng kỹ thuật phù hợp với loại công trình </w:t>
      </w:r>
      <w:r w:rsidR="00971378" w:rsidRPr="00B043CD">
        <w:t>và hạng đề nghị cấp chứng chỉ của tổ chức</w:t>
      </w:r>
      <w:r w:rsidRPr="00B043CD">
        <w:t>.</w:t>
      </w:r>
    </w:p>
    <w:p w:rsidR="000143AE" w:rsidRPr="00B043CD" w:rsidRDefault="001151B4" w:rsidP="00F555F7">
      <w:pPr>
        <w:spacing w:after="120" w:line="240" w:lineRule="auto"/>
        <w:ind w:firstLine="567"/>
        <w:jc w:val="both"/>
        <w:rPr>
          <w:szCs w:val="28"/>
        </w:rPr>
      </w:pPr>
      <w:r w:rsidRPr="00B043CD">
        <w:lastRenderedPageBreak/>
        <w:t>d) Đối với tổ chức tư vấn quản lý dự</w:t>
      </w:r>
      <w:r w:rsidR="00961C34" w:rsidRPr="00B043CD">
        <w:t xml:space="preserve"> án: </w:t>
      </w:r>
      <w:r w:rsidR="00961C34" w:rsidRPr="00B043CD">
        <w:rPr>
          <w:szCs w:val="28"/>
        </w:rPr>
        <w:t>C</w:t>
      </w:r>
      <w:r w:rsidR="000143AE" w:rsidRPr="00B043CD">
        <w:rPr>
          <w:szCs w:val="28"/>
        </w:rPr>
        <w:t>á nhân phụ trách</w:t>
      </w:r>
      <w:r w:rsidR="00C2064D" w:rsidRPr="00B043CD">
        <w:rPr>
          <w:szCs w:val="28"/>
        </w:rPr>
        <w:t xml:space="preserve"> </w:t>
      </w:r>
      <w:r w:rsidR="0048480D" w:rsidRPr="00B043CD">
        <w:rPr>
          <w:szCs w:val="28"/>
        </w:rPr>
        <w:t xml:space="preserve">các </w:t>
      </w:r>
      <w:r w:rsidR="00C2064D" w:rsidRPr="00B043CD">
        <w:rPr>
          <w:szCs w:val="28"/>
        </w:rPr>
        <w:t>lĩnh vực chuyên môn của tổ chức phải chứng chỉ hành nghề</w:t>
      </w:r>
      <w:r w:rsidR="0048480D" w:rsidRPr="00B043CD">
        <w:rPr>
          <w:szCs w:val="28"/>
        </w:rPr>
        <w:t>:</w:t>
      </w:r>
      <w:r w:rsidR="00C2064D" w:rsidRPr="00B043CD">
        <w:rPr>
          <w:szCs w:val="28"/>
        </w:rPr>
        <w:t xml:space="preserve"> giám sát thi công xây dựng, định giá xây dựng phù hợp với công việc đảm nhận</w:t>
      </w:r>
      <w:r w:rsidR="00971378" w:rsidRPr="00B043CD">
        <w:rPr>
          <w:szCs w:val="28"/>
        </w:rPr>
        <w:t xml:space="preserve"> và </w:t>
      </w:r>
      <w:r w:rsidR="00971378" w:rsidRPr="00B043CD">
        <w:t>hạng đề nghị cấp chứng chỉ của tổ chức</w:t>
      </w:r>
      <w:r w:rsidR="00A06692" w:rsidRPr="00B043CD">
        <w:rPr>
          <w:szCs w:val="28"/>
        </w:rPr>
        <w:t>;</w:t>
      </w:r>
    </w:p>
    <w:p w:rsidR="001151B4" w:rsidRPr="00B043CD" w:rsidRDefault="001151B4" w:rsidP="00F555F7">
      <w:pPr>
        <w:spacing w:after="120" w:line="240" w:lineRule="auto"/>
        <w:ind w:firstLine="567"/>
        <w:jc w:val="both"/>
      </w:pPr>
      <w:r w:rsidRPr="00B043CD">
        <w:t>đ) Đối với tổ chức giám sát thi công xây dự</w:t>
      </w:r>
      <w:r w:rsidR="00961C34" w:rsidRPr="00B043CD">
        <w:t xml:space="preserve">ng: </w:t>
      </w:r>
      <w:r w:rsidRPr="00B043CD">
        <w:t xml:space="preserve">Trường hợp tổ chức kê khai cá nhân đảm nhận chức danh giám sát trưởng, giám sát viên chỉ có chứng chỉ hành nghề đối với một lĩnh vực giám sát thi công xây dựng theo quy định tại </w:t>
      </w:r>
      <w:r w:rsidR="002C47B7" w:rsidRPr="00B043CD">
        <w:t>k</w:t>
      </w:r>
      <w:r w:rsidRPr="00B043CD">
        <w:t>hoản 9 Điều 1 Nghị định số 100/2018/NĐ-CP thì chỉ được xét cấp chứng chỉ năng lực hoạt động xây dựng đối với lĩnh vực giám sát thi công xây dựng đó.</w:t>
      </w:r>
    </w:p>
    <w:p w:rsidR="00F555F7" w:rsidRPr="00B043CD" w:rsidRDefault="0048480D" w:rsidP="00F555F7">
      <w:pPr>
        <w:spacing w:after="120" w:line="240" w:lineRule="auto"/>
        <w:ind w:firstLine="567"/>
        <w:jc w:val="both"/>
        <w:rPr>
          <w:szCs w:val="28"/>
        </w:rPr>
      </w:pPr>
      <w:r w:rsidRPr="00B043CD">
        <w:rPr>
          <w:szCs w:val="28"/>
        </w:rPr>
        <w:t>4</w:t>
      </w:r>
      <w:r w:rsidR="001151B4" w:rsidRPr="00B043CD">
        <w:rPr>
          <w:szCs w:val="28"/>
        </w:rPr>
        <w:t>. Cơ quan có thẩm quyền cấp chứng chỉ năng lực quyết định việc cấp chứng chỉ năng lực hoạt động xây dựng sau khi có kết quả đánh giá của Hội đồng xét cấp chứng chỉ năng lực hoạt động xây dựng.</w:t>
      </w:r>
      <w:r w:rsidR="00F555F7">
        <w:rPr>
          <w:szCs w:val="28"/>
        </w:rPr>
        <w:t xml:space="preserve"> T</w:t>
      </w:r>
      <w:r w:rsidR="00F555F7" w:rsidRPr="00B043CD">
        <w:rPr>
          <w:szCs w:val="28"/>
        </w:rPr>
        <w:t xml:space="preserve">rường hợp </w:t>
      </w:r>
      <w:r w:rsidR="00F555F7">
        <w:rPr>
          <w:szCs w:val="28"/>
        </w:rPr>
        <w:t xml:space="preserve">tổ chức </w:t>
      </w:r>
      <w:r w:rsidR="00F555F7" w:rsidRPr="00B043CD">
        <w:rPr>
          <w:szCs w:val="28"/>
        </w:rPr>
        <w:t>đề nghị cấp nâng hạng, điều chỉnh, bổ sung nội dung chứng chỉ</w:t>
      </w:r>
      <w:r w:rsidR="00F555F7">
        <w:rPr>
          <w:szCs w:val="28"/>
        </w:rPr>
        <w:t xml:space="preserve"> năng lực thì t</w:t>
      </w:r>
      <w:r w:rsidR="00F555F7" w:rsidRPr="00B043CD">
        <w:rPr>
          <w:szCs w:val="28"/>
        </w:rPr>
        <w:t>hời hạn hiệu lực của chứng chỉ</w:t>
      </w:r>
      <w:r w:rsidR="00F555F7">
        <w:rPr>
          <w:szCs w:val="28"/>
        </w:rPr>
        <w:t xml:space="preserve"> thực hiện </w:t>
      </w:r>
      <w:r w:rsidR="00F555F7" w:rsidRPr="00B043CD">
        <w:rPr>
          <w:szCs w:val="28"/>
        </w:rPr>
        <w:t>theo quy định tại khoản 20 Điều 1 Nghị định số 100/2018/NĐ-CP</w:t>
      </w:r>
      <w:r w:rsidR="00F555F7">
        <w:rPr>
          <w:szCs w:val="28"/>
        </w:rPr>
        <w:t>.</w:t>
      </w:r>
    </w:p>
    <w:p w:rsidR="001151B4" w:rsidRPr="00B043CD" w:rsidRDefault="0048480D" w:rsidP="00F555F7">
      <w:pPr>
        <w:spacing w:after="120" w:line="240" w:lineRule="auto"/>
        <w:ind w:firstLine="567"/>
        <w:jc w:val="both"/>
        <w:rPr>
          <w:szCs w:val="28"/>
        </w:rPr>
      </w:pPr>
      <w:r w:rsidRPr="00B043CD">
        <w:rPr>
          <w:rFonts w:eastAsia="Times New Roman"/>
          <w:szCs w:val="28"/>
        </w:rPr>
        <w:t>5</w:t>
      </w:r>
      <w:r w:rsidR="001151B4" w:rsidRPr="00B043CD">
        <w:rPr>
          <w:rFonts w:eastAsia="Times New Roman"/>
          <w:szCs w:val="28"/>
        </w:rPr>
        <w:t>. Tổ chức nước ngoài không yêu cầu phải có chứng chỉ năng lực hoạt động xây dựng theo quy định tại Thông tư này khi hoạt động xây dựng tại Việt Nam.</w:t>
      </w:r>
    </w:p>
    <w:p w:rsidR="001151B4" w:rsidRPr="00B043CD" w:rsidRDefault="001151B4" w:rsidP="00F555F7">
      <w:pPr>
        <w:spacing w:after="120" w:line="240" w:lineRule="auto"/>
        <w:ind w:firstLine="567"/>
        <w:jc w:val="both"/>
        <w:rPr>
          <w:b/>
          <w:szCs w:val="28"/>
        </w:rPr>
      </w:pPr>
      <w:r w:rsidRPr="00B043CD">
        <w:rPr>
          <w:b/>
          <w:szCs w:val="28"/>
        </w:rPr>
        <w:t xml:space="preserve">Điều </w:t>
      </w:r>
      <w:r w:rsidR="00B47C67" w:rsidRPr="00B043CD">
        <w:rPr>
          <w:b/>
          <w:szCs w:val="28"/>
        </w:rPr>
        <w:t>5</w:t>
      </w:r>
      <w:r w:rsidRPr="00B043CD">
        <w:rPr>
          <w:b/>
          <w:szCs w:val="28"/>
        </w:rPr>
        <w:t xml:space="preserve">. </w:t>
      </w:r>
      <w:r w:rsidR="00B21724" w:rsidRPr="00B043CD">
        <w:rPr>
          <w:b/>
          <w:szCs w:val="28"/>
        </w:rPr>
        <w:t>Bãi bỏ, s</w:t>
      </w:r>
      <w:r w:rsidRPr="00B043CD">
        <w:rPr>
          <w:b/>
          <w:szCs w:val="28"/>
        </w:rPr>
        <w:t xml:space="preserve">ửa đổi, bổ sung một số quy định quản lý nhà thầu nước ngoài hoạt động xây dựng tại Việt Nam </w:t>
      </w:r>
    </w:p>
    <w:p w:rsidR="00B21724" w:rsidRPr="00B043CD" w:rsidRDefault="001151B4" w:rsidP="00F555F7">
      <w:pPr>
        <w:spacing w:after="120" w:line="240" w:lineRule="auto"/>
        <w:ind w:firstLine="567"/>
        <w:jc w:val="both"/>
        <w:rPr>
          <w:szCs w:val="28"/>
        </w:rPr>
      </w:pPr>
      <w:r w:rsidRPr="00B043CD">
        <w:rPr>
          <w:szCs w:val="28"/>
        </w:rPr>
        <w:t xml:space="preserve">1. </w:t>
      </w:r>
      <w:r w:rsidR="00B21724" w:rsidRPr="00B043CD">
        <w:rPr>
          <w:szCs w:val="28"/>
        </w:rPr>
        <w:t>Bãi bỏ Điều 2, Điều 3, Điều 10, Điều 11, Điều 12 Thông tư số 14/2016/TT-BXD ngày 30/6/2016 của Bộ Xây dựng hướng dẫn về cấp giấy phép hoạt động xây dựng và quản lý nhà thầu nước ngoài hoạt động xây dựng tại Việt Nam (sau đây viết là Thông tư số 14/2016/TT-BXD).</w:t>
      </w:r>
    </w:p>
    <w:p w:rsidR="001151B4" w:rsidRPr="00B043CD" w:rsidRDefault="001151B4" w:rsidP="00F555F7">
      <w:pPr>
        <w:spacing w:after="120" w:line="240" w:lineRule="auto"/>
        <w:ind w:firstLine="567"/>
        <w:jc w:val="both"/>
        <w:rPr>
          <w:szCs w:val="28"/>
        </w:rPr>
      </w:pPr>
      <w:r w:rsidRPr="00B043CD">
        <w:rPr>
          <w:szCs w:val="28"/>
        </w:rPr>
        <w:t xml:space="preserve">2. </w:t>
      </w:r>
      <w:bookmarkStart w:id="9" w:name="dieu_8"/>
      <w:r w:rsidRPr="00B043CD">
        <w:rPr>
          <w:szCs w:val="28"/>
          <w:lang w:val="vi-VN"/>
        </w:rPr>
        <w:t xml:space="preserve">Sửa đổi, bổ sung Điều 8 Thông tư số 14/2016/TT-BXD như sau: </w:t>
      </w:r>
    </w:p>
    <w:p w:rsidR="001151B4" w:rsidRPr="00B043CD" w:rsidRDefault="001151B4" w:rsidP="00F555F7">
      <w:pPr>
        <w:pStyle w:val="NormalWeb"/>
        <w:shd w:val="clear" w:color="auto" w:fill="FFFFFF"/>
        <w:spacing w:before="0" w:beforeAutospacing="0" w:after="120" w:afterAutospacing="0"/>
        <w:ind w:firstLine="567"/>
        <w:jc w:val="both"/>
        <w:rPr>
          <w:sz w:val="28"/>
          <w:szCs w:val="28"/>
          <w:lang w:val="vi-VN"/>
        </w:rPr>
      </w:pPr>
      <w:r w:rsidRPr="00B043CD">
        <w:rPr>
          <w:sz w:val="28"/>
          <w:szCs w:val="28"/>
          <w:lang w:val="vi-VN"/>
        </w:rPr>
        <w:t>“</w:t>
      </w:r>
      <w:r w:rsidRPr="00B043CD">
        <w:rPr>
          <w:b/>
          <w:sz w:val="28"/>
          <w:szCs w:val="28"/>
          <w:lang w:val="vi-VN"/>
        </w:rPr>
        <w:t>Điều 8. Quy định về báo cáo</w:t>
      </w:r>
      <w:bookmarkEnd w:id="9"/>
    </w:p>
    <w:p w:rsidR="001151B4" w:rsidRPr="00B043CD" w:rsidRDefault="001151B4" w:rsidP="00F555F7">
      <w:pPr>
        <w:pStyle w:val="NormalWeb"/>
        <w:shd w:val="clear" w:color="auto" w:fill="FFFFFF"/>
        <w:spacing w:before="0" w:beforeAutospacing="0" w:after="120" w:afterAutospacing="0"/>
        <w:ind w:firstLine="567"/>
        <w:jc w:val="both"/>
        <w:rPr>
          <w:sz w:val="28"/>
          <w:szCs w:val="28"/>
          <w:lang w:val="vi-VN"/>
        </w:rPr>
      </w:pPr>
      <w:r w:rsidRPr="00B043CD">
        <w:rPr>
          <w:sz w:val="28"/>
          <w:szCs w:val="28"/>
          <w:lang w:val="vi-VN"/>
        </w:rPr>
        <w:t xml:space="preserve">1. Định kỳ </w:t>
      </w:r>
      <w:r w:rsidRPr="00B043CD">
        <w:rPr>
          <w:sz w:val="28"/>
          <w:szCs w:val="28"/>
        </w:rPr>
        <w:t>trước</w:t>
      </w:r>
      <w:r w:rsidRPr="00B043CD">
        <w:rPr>
          <w:sz w:val="28"/>
          <w:szCs w:val="28"/>
          <w:lang w:val="vi-VN"/>
        </w:rPr>
        <w:t xml:space="preserve"> ngày 10 tháng 12 hàng năm, nhà thầu nước ngoài có trách nhiệm gửi báo cáo tới cơ quan cấp giấy phép hoạt động xây dựng và Sở Xây dựng nơi có dự án, về tình hình thực hiện hợp đồng theo mẫu tại Phụ lục số 9 của Thông tư này.</w:t>
      </w:r>
    </w:p>
    <w:p w:rsidR="001151B4" w:rsidRPr="00B043CD" w:rsidRDefault="001151B4" w:rsidP="00F555F7">
      <w:pPr>
        <w:pStyle w:val="NormalWeb"/>
        <w:shd w:val="clear" w:color="auto" w:fill="FFFFFF"/>
        <w:spacing w:before="0" w:beforeAutospacing="0" w:after="120" w:afterAutospacing="0"/>
        <w:ind w:firstLine="567"/>
        <w:jc w:val="both"/>
        <w:rPr>
          <w:sz w:val="28"/>
          <w:szCs w:val="28"/>
          <w:lang w:val="vi-VN"/>
        </w:rPr>
      </w:pPr>
      <w:r w:rsidRPr="00B043CD">
        <w:rPr>
          <w:sz w:val="28"/>
          <w:szCs w:val="28"/>
          <w:lang w:val="vi-VN"/>
        </w:rPr>
        <w:t xml:space="preserve">2. Định kỳ </w:t>
      </w:r>
      <w:r w:rsidRPr="00B043CD">
        <w:rPr>
          <w:sz w:val="28"/>
          <w:szCs w:val="28"/>
        </w:rPr>
        <w:t>trước</w:t>
      </w:r>
      <w:r w:rsidRPr="00B043CD">
        <w:rPr>
          <w:sz w:val="28"/>
          <w:szCs w:val="28"/>
          <w:lang w:val="vi-VN"/>
        </w:rPr>
        <w:t xml:space="preserve"> ngày 15 tháng 12 hàng năm, Sở Xây dựng báo cáo Cơ quan chuyên môn thuộc Bộ Xây dựng về tình hình cấp, </w:t>
      </w:r>
      <w:r w:rsidRPr="00B043CD">
        <w:rPr>
          <w:sz w:val="28"/>
          <w:szCs w:val="28"/>
        </w:rPr>
        <w:t>đ</w:t>
      </w:r>
      <w:r w:rsidRPr="00B043CD">
        <w:rPr>
          <w:sz w:val="28"/>
          <w:szCs w:val="28"/>
          <w:lang w:val="vi-VN"/>
        </w:rPr>
        <w:t>iều chỉnh, thu hồi giấy phép hoạt động xây dựng và hoạt động của nhà thầu nước ngoài tại địa phương theo mẫu tại Phụ lục số 10 của Thông tư này.”</w:t>
      </w:r>
    </w:p>
    <w:p w:rsidR="001151B4" w:rsidRPr="00B043CD" w:rsidRDefault="001151B4" w:rsidP="00F555F7">
      <w:pPr>
        <w:spacing w:after="120" w:line="240" w:lineRule="auto"/>
        <w:ind w:firstLine="567"/>
        <w:jc w:val="both"/>
        <w:rPr>
          <w:b/>
          <w:szCs w:val="28"/>
        </w:rPr>
      </w:pPr>
      <w:r w:rsidRPr="00B043CD">
        <w:rPr>
          <w:b/>
          <w:szCs w:val="28"/>
        </w:rPr>
        <w:t xml:space="preserve">Điều </w:t>
      </w:r>
      <w:r w:rsidR="00F555F7">
        <w:rPr>
          <w:b/>
          <w:szCs w:val="28"/>
        </w:rPr>
        <w:t>6</w:t>
      </w:r>
      <w:r w:rsidRPr="00B043CD">
        <w:rPr>
          <w:b/>
          <w:szCs w:val="28"/>
        </w:rPr>
        <w:t>. Hiệu lực thi hành</w:t>
      </w:r>
    </w:p>
    <w:p w:rsidR="001151B4" w:rsidRPr="00B043CD" w:rsidRDefault="001151B4" w:rsidP="00F555F7">
      <w:pPr>
        <w:spacing w:after="120" w:line="240" w:lineRule="auto"/>
        <w:ind w:firstLine="567"/>
        <w:jc w:val="both"/>
        <w:rPr>
          <w:szCs w:val="28"/>
        </w:rPr>
      </w:pPr>
      <w:r w:rsidRPr="00B043CD">
        <w:rPr>
          <w:szCs w:val="28"/>
        </w:rPr>
        <w:t>1. Thông tư này có hiệu lực thi hành từ ngày        tháng     năm 2018.</w:t>
      </w:r>
    </w:p>
    <w:p w:rsidR="001151B4" w:rsidRPr="00B043CD" w:rsidRDefault="001151B4" w:rsidP="00F555F7">
      <w:pPr>
        <w:spacing w:after="120" w:line="240" w:lineRule="auto"/>
        <w:ind w:firstLine="567"/>
        <w:jc w:val="both"/>
        <w:rPr>
          <w:szCs w:val="28"/>
        </w:rPr>
      </w:pPr>
      <w:r w:rsidRPr="00B043CD">
        <w:rPr>
          <w:szCs w:val="28"/>
        </w:rPr>
        <w:t>2. Thông tư số 17/2016/TT-BXD ngày 30/6/2016 của Bộ trưởng Bộ Xây dựng hướng dẫn về năng lực của tổ chức, cá nhân tham gia hoạt động xây dựng và Điều 1</w:t>
      </w:r>
      <w:r w:rsidR="00095A4A" w:rsidRPr="00B043CD">
        <w:rPr>
          <w:szCs w:val="28"/>
        </w:rPr>
        <w:t>, Điều 2</w:t>
      </w:r>
      <w:r w:rsidRPr="00B043CD">
        <w:rPr>
          <w:szCs w:val="28"/>
        </w:rPr>
        <w:t xml:space="preserve"> Thông tư số 24/2016/TT-BXD ngày 01/9/2016 của Bộ trưởng Bộ Xây dựng về sửa đổi, bổ sung một số điều của các thông tư liên quan đến quản lý dự án đầu tư xây dựng hết hiệu lực kể từ ngày Thông tư này có hiệu lực thi hành.</w:t>
      </w:r>
    </w:p>
    <w:p w:rsidR="001151B4" w:rsidRPr="00B043CD" w:rsidRDefault="001151B4" w:rsidP="00F555F7">
      <w:pPr>
        <w:spacing w:after="120" w:line="240" w:lineRule="auto"/>
        <w:ind w:firstLine="567"/>
        <w:jc w:val="both"/>
        <w:rPr>
          <w:szCs w:val="28"/>
        </w:rPr>
      </w:pPr>
      <w:r w:rsidRPr="00B043CD">
        <w:rPr>
          <w:szCs w:val="28"/>
        </w:rPr>
        <w:lastRenderedPageBreak/>
        <w:t>3. Các Bộ, cơ quan ngang Bộ, Ủy ban nhân dân các cấp, tổ chức, cá nhân liên quan chịu trách nhiệm thi hành Thông tư này. Trong quá trình thực hiện, nếu phát sinh vướng mắc, đề nghị phản ánh kịp thời về Bộ Xây dựng để xem xét, giải quyết./.</w:t>
      </w:r>
    </w:p>
    <w:p w:rsidR="001151B4" w:rsidRPr="00B043CD" w:rsidRDefault="001151B4" w:rsidP="001151B4">
      <w:pPr>
        <w:spacing w:after="60" w:line="240" w:lineRule="auto"/>
        <w:ind w:firstLine="567"/>
        <w:jc w:val="both"/>
        <w:rPr>
          <w:sz w:val="22"/>
          <w:szCs w:val="28"/>
        </w:rPr>
      </w:pPr>
    </w:p>
    <w:tbl>
      <w:tblPr>
        <w:tblW w:w="9072" w:type="dxa"/>
        <w:tblInd w:w="108" w:type="dxa"/>
        <w:tblLook w:val="04A0"/>
      </w:tblPr>
      <w:tblGrid>
        <w:gridCol w:w="5103"/>
        <w:gridCol w:w="3969"/>
      </w:tblGrid>
      <w:tr w:rsidR="001151B4" w:rsidRPr="00B043CD" w:rsidTr="00361FBF">
        <w:trPr>
          <w:trHeight w:val="3069"/>
        </w:trPr>
        <w:tc>
          <w:tcPr>
            <w:tcW w:w="5103" w:type="dxa"/>
          </w:tcPr>
          <w:p w:rsidR="001151B4" w:rsidRPr="00B043CD" w:rsidRDefault="001151B4" w:rsidP="00361FBF">
            <w:pPr>
              <w:spacing w:after="0" w:line="240" w:lineRule="auto"/>
              <w:ind w:left="-120"/>
              <w:rPr>
                <w:b/>
                <w:i/>
                <w:sz w:val="24"/>
                <w:szCs w:val="24"/>
              </w:rPr>
            </w:pPr>
            <w:r w:rsidRPr="00B043CD">
              <w:rPr>
                <w:b/>
                <w:i/>
                <w:sz w:val="24"/>
                <w:szCs w:val="24"/>
              </w:rPr>
              <w:t>Nơi nhận:</w:t>
            </w:r>
          </w:p>
          <w:p w:rsidR="00E91147" w:rsidRPr="00B043CD" w:rsidRDefault="001151B4" w:rsidP="00E91147">
            <w:pPr>
              <w:spacing w:after="0" w:line="240" w:lineRule="auto"/>
              <w:ind w:left="-120"/>
              <w:rPr>
                <w:sz w:val="22"/>
              </w:rPr>
            </w:pPr>
            <w:r w:rsidRPr="00B043CD">
              <w:rPr>
                <w:sz w:val="22"/>
              </w:rPr>
              <w:t>- Thủ tướng, các PTT Chính phủ;</w:t>
            </w:r>
            <w:r w:rsidRPr="00B043CD">
              <w:rPr>
                <w:sz w:val="22"/>
              </w:rPr>
              <w:br/>
            </w:r>
            <w:r w:rsidR="00E91147" w:rsidRPr="00B043CD">
              <w:rPr>
                <w:sz w:val="22"/>
              </w:rPr>
              <w:t>- Văn phòng Quốc hội;</w:t>
            </w:r>
          </w:p>
          <w:p w:rsidR="00E91147" w:rsidRPr="00B043CD" w:rsidRDefault="00E91147" w:rsidP="00E91147">
            <w:pPr>
              <w:spacing w:after="0" w:line="240" w:lineRule="auto"/>
              <w:ind w:left="-120"/>
              <w:rPr>
                <w:sz w:val="22"/>
              </w:rPr>
            </w:pPr>
            <w:r w:rsidRPr="00B043CD">
              <w:rPr>
                <w:sz w:val="22"/>
              </w:rPr>
              <w:t>- Văn phòng Chính phủ;</w:t>
            </w:r>
            <w:r w:rsidRPr="00B043CD">
              <w:rPr>
                <w:sz w:val="22"/>
              </w:rPr>
              <w:br/>
              <w:t>- Văn phòng Chủ tịch nước;</w:t>
            </w:r>
            <w:r w:rsidRPr="00B043CD">
              <w:rPr>
                <w:sz w:val="22"/>
              </w:rPr>
              <w:br/>
              <w:t>- Văn phòng TW và các Ban của Đảng;</w:t>
            </w:r>
          </w:p>
          <w:p w:rsidR="00E91147" w:rsidRPr="00B043CD" w:rsidRDefault="001151B4" w:rsidP="00361FBF">
            <w:pPr>
              <w:spacing w:after="0" w:line="240" w:lineRule="auto"/>
              <w:ind w:left="-120"/>
              <w:rPr>
                <w:sz w:val="22"/>
              </w:rPr>
            </w:pPr>
            <w:r w:rsidRPr="00B043CD">
              <w:rPr>
                <w:sz w:val="22"/>
              </w:rPr>
              <w:t>- Cơ quan Trung ương của các đoàn thể;</w:t>
            </w:r>
            <w:r w:rsidRPr="00B043CD">
              <w:rPr>
                <w:sz w:val="22"/>
              </w:rPr>
              <w:br/>
            </w:r>
            <w:r w:rsidR="00E91147" w:rsidRPr="00B043CD">
              <w:rPr>
                <w:sz w:val="22"/>
              </w:rPr>
              <w:t>- Các Bộ, cơ quan ngang Bộ, cơ quan thuộc Chính phủ;</w:t>
            </w:r>
          </w:p>
          <w:p w:rsidR="00E91147" w:rsidRPr="00B043CD" w:rsidRDefault="001151B4" w:rsidP="00361FBF">
            <w:pPr>
              <w:spacing w:after="0" w:line="240" w:lineRule="auto"/>
              <w:ind w:left="-120"/>
              <w:rPr>
                <w:sz w:val="22"/>
              </w:rPr>
            </w:pPr>
            <w:r w:rsidRPr="00B043CD">
              <w:rPr>
                <w:sz w:val="22"/>
              </w:rPr>
              <w:t>- Viện Kiểm sát nhân dân tối cao; Toà án NDTC;</w:t>
            </w:r>
            <w:r w:rsidRPr="00B043CD">
              <w:rPr>
                <w:sz w:val="22"/>
              </w:rPr>
              <w:br/>
            </w:r>
            <w:r w:rsidR="00E91147" w:rsidRPr="00B043CD">
              <w:rPr>
                <w:sz w:val="22"/>
              </w:rPr>
              <w:t>- HĐND, UBND các tỉnh, TP trực thuộc TW;</w:t>
            </w:r>
          </w:p>
          <w:p w:rsidR="001151B4" w:rsidRPr="00B043CD" w:rsidRDefault="001151B4" w:rsidP="00361FBF">
            <w:pPr>
              <w:spacing w:after="0" w:line="240" w:lineRule="auto"/>
              <w:ind w:left="-120"/>
              <w:rPr>
                <w:sz w:val="22"/>
              </w:rPr>
            </w:pPr>
            <w:r w:rsidRPr="00B043CD">
              <w:rPr>
                <w:sz w:val="22"/>
              </w:rPr>
              <w:t>- Cục Kiểm tra văn bản QPPL, Bộ Tư pháp;</w:t>
            </w:r>
            <w:r w:rsidRPr="00B043CD">
              <w:rPr>
                <w:sz w:val="22"/>
              </w:rPr>
              <w:br/>
              <w:t>- Các đơn vị thuộc Bộ Xây dựng;</w:t>
            </w:r>
          </w:p>
          <w:p w:rsidR="001151B4" w:rsidRPr="00B043CD" w:rsidRDefault="001151B4" w:rsidP="00361FBF">
            <w:pPr>
              <w:spacing w:after="0" w:line="240" w:lineRule="auto"/>
              <w:ind w:left="-120"/>
            </w:pPr>
            <w:r w:rsidRPr="00B043CD">
              <w:rPr>
                <w:sz w:val="22"/>
              </w:rPr>
              <w:t>- Sở Xây dựng các tỉnh, TP trực thuộc TW;</w:t>
            </w:r>
            <w:r w:rsidRPr="00B043CD">
              <w:rPr>
                <w:sz w:val="22"/>
              </w:rPr>
              <w:br/>
              <w:t>- Công báo, Website của CP, Website của Bộ XD;</w:t>
            </w:r>
            <w:r w:rsidRPr="00B043CD">
              <w:rPr>
                <w:sz w:val="22"/>
              </w:rPr>
              <w:br/>
              <w:t>- Lưu: VT, PC, HĐXD.</w:t>
            </w:r>
          </w:p>
        </w:tc>
        <w:tc>
          <w:tcPr>
            <w:tcW w:w="3969" w:type="dxa"/>
          </w:tcPr>
          <w:p w:rsidR="001151B4" w:rsidRDefault="00E03EA0" w:rsidP="00361FBF">
            <w:pPr>
              <w:spacing w:after="0" w:line="240" w:lineRule="auto"/>
              <w:jc w:val="center"/>
              <w:rPr>
                <w:b/>
                <w:szCs w:val="28"/>
              </w:rPr>
            </w:pPr>
            <w:r>
              <w:rPr>
                <w:b/>
                <w:szCs w:val="28"/>
              </w:rPr>
              <w:t xml:space="preserve">KT. </w:t>
            </w:r>
            <w:r w:rsidR="001151B4" w:rsidRPr="00B043CD">
              <w:rPr>
                <w:b/>
                <w:szCs w:val="28"/>
              </w:rPr>
              <w:t>BỘ TRƯỞNG</w:t>
            </w:r>
          </w:p>
          <w:p w:rsidR="00E03EA0" w:rsidRPr="00B043CD" w:rsidRDefault="00E03EA0" w:rsidP="00361FBF">
            <w:pPr>
              <w:spacing w:after="0" w:line="240" w:lineRule="auto"/>
              <w:jc w:val="center"/>
              <w:rPr>
                <w:b/>
                <w:szCs w:val="28"/>
              </w:rPr>
            </w:pPr>
            <w:r>
              <w:rPr>
                <w:b/>
                <w:szCs w:val="28"/>
              </w:rPr>
              <w:t>THỨ TRƯỞNG</w:t>
            </w:r>
          </w:p>
          <w:p w:rsidR="001151B4" w:rsidRPr="00B043CD" w:rsidRDefault="001151B4" w:rsidP="00361FBF">
            <w:pPr>
              <w:spacing w:after="0" w:line="240" w:lineRule="auto"/>
              <w:jc w:val="center"/>
              <w:rPr>
                <w:b/>
              </w:rPr>
            </w:pPr>
          </w:p>
          <w:p w:rsidR="001151B4" w:rsidRPr="00B043CD" w:rsidRDefault="001151B4" w:rsidP="00361FBF">
            <w:pPr>
              <w:spacing w:before="120"/>
              <w:jc w:val="center"/>
              <w:rPr>
                <w:b/>
              </w:rPr>
            </w:pPr>
          </w:p>
          <w:p w:rsidR="001151B4" w:rsidRPr="00B043CD" w:rsidRDefault="001151B4" w:rsidP="00361FBF">
            <w:pPr>
              <w:spacing w:before="120"/>
              <w:jc w:val="center"/>
              <w:rPr>
                <w:b/>
              </w:rPr>
            </w:pPr>
          </w:p>
          <w:p w:rsidR="001151B4" w:rsidRPr="00B043CD" w:rsidRDefault="001151B4" w:rsidP="00361FBF">
            <w:pPr>
              <w:spacing w:before="120"/>
              <w:jc w:val="center"/>
              <w:rPr>
                <w:b/>
              </w:rPr>
            </w:pPr>
          </w:p>
          <w:p w:rsidR="00CA1603" w:rsidRPr="00B043CD" w:rsidRDefault="00CA1603" w:rsidP="00361FBF">
            <w:pPr>
              <w:spacing w:before="120"/>
              <w:jc w:val="center"/>
              <w:rPr>
                <w:b/>
                <w:sz w:val="10"/>
              </w:rPr>
            </w:pPr>
          </w:p>
          <w:p w:rsidR="001151B4" w:rsidRPr="00B043CD" w:rsidRDefault="00E03EA0" w:rsidP="00361FBF">
            <w:pPr>
              <w:spacing w:before="120"/>
              <w:jc w:val="center"/>
              <w:rPr>
                <w:b/>
              </w:rPr>
            </w:pPr>
            <w:r>
              <w:rPr>
                <w:b/>
              </w:rPr>
              <w:t>Lê Quang Hùng</w:t>
            </w:r>
          </w:p>
        </w:tc>
      </w:tr>
    </w:tbl>
    <w:p w:rsidR="001151B4" w:rsidRPr="00B043CD" w:rsidRDefault="001151B4" w:rsidP="001151B4">
      <w:pPr>
        <w:ind w:firstLine="567"/>
        <w:jc w:val="both"/>
      </w:pPr>
    </w:p>
    <w:p w:rsidR="002529C8" w:rsidRPr="00B043CD" w:rsidRDefault="002529C8"/>
    <w:sectPr w:rsidR="002529C8" w:rsidRPr="00B043CD" w:rsidSect="00F555F7">
      <w:headerReference w:type="default" r:id="rId9"/>
      <w:pgSz w:w="11907" w:h="16840" w:code="9"/>
      <w:pgMar w:top="1134" w:right="851" w:bottom="1134" w:left="1701" w:header="709" w:footer="284" w:gutter="0"/>
      <w:cols w:space="720"/>
      <w:titlePg/>
      <w:docGrid w:linePitch="38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istrator" w:date="2018-10-12T11:04:00Z" w:initials="A">
    <w:p w:rsidR="00361FBF" w:rsidRDefault="00361FBF" w:rsidP="00B21724">
      <w:pPr>
        <w:pStyle w:val="CommentText"/>
      </w:pPr>
      <w:r>
        <w:rPr>
          <w:rStyle w:val="CommentReference"/>
        </w:rPr>
        <w:annotationRef/>
      </w:r>
      <w:r>
        <w:t>Sửa theo góp ý của Bộ Tư pháp</w:t>
      </w:r>
    </w:p>
  </w:comment>
  <w:comment w:id="2" w:author="User" w:date="2018-10-22T11:32:00Z" w:initials="U">
    <w:p w:rsidR="00361FBF" w:rsidRDefault="00361FBF" w:rsidP="00C00B84">
      <w:pPr>
        <w:pStyle w:val="CommentText"/>
      </w:pPr>
      <w:r>
        <w:rPr>
          <w:rStyle w:val="CommentReference"/>
        </w:rPr>
        <w:annotationRef/>
      </w:r>
      <w:r>
        <w:t>Sửa cho thống nhất với quy định tại Nghị định 100/CP</w:t>
      </w:r>
    </w:p>
  </w:comment>
  <w:comment w:id="3" w:author="Administrator" w:date="2018-10-22T11:32:00Z" w:initials="A">
    <w:p w:rsidR="00361FBF" w:rsidRDefault="00361FBF" w:rsidP="00C00B84">
      <w:pPr>
        <w:pStyle w:val="CommentText"/>
      </w:pPr>
      <w:r>
        <w:rPr>
          <w:rStyle w:val="CommentReference"/>
        </w:rPr>
        <w:annotationRef/>
      </w:r>
      <w:r>
        <w:t>Sửa theo góp ý của Bộ Tư pháp</w:t>
      </w:r>
    </w:p>
  </w:comment>
  <w:comment w:id="5" w:author="Administrator" w:date="2018-10-22T11:57:00Z" w:initials="A">
    <w:p w:rsidR="00017A0D" w:rsidRDefault="00017A0D" w:rsidP="00017A0D">
      <w:pPr>
        <w:pStyle w:val="CommentText"/>
      </w:pPr>
      <w:r>
        <w:rPr>
          <w:rStyle w:val="CommentReference"/>
        </w:rPr>
        <w:annotationRef/>
      </w:r>
      <w:r>
        <w:t>Bỏ điểm a Khoản 1, sửa lại thành 4 khoản trong Điều 3. Lý do: Bộ Tư pháp ghi rõ: Khoản 5 Điều 148 giao Chính phủ quy định chi tiết chương trình, nội dung, hình thức tổ chức sát hạch. Do đó nếu quy định hình thức sát hạch thì sai thẩm quyền.</w:t>
      </w:r>
    </w:p>
  </w:comment>
  <w:comment w:id="7" w:author="User" w:date="2018-10-22T11:57:00Z" w:initials="U">
    <w:p w:rsidR="00017A0D" w:rsidRDefault="00017A0D" w:rsidP="00017A0D">
      <w:pPr>
        <w:pStyle w:val="CommentText"/>
      </w:pPr>
      <w:r>
        <w:rPr>
          <w:rStyle w:val="CommentReference"/>
        </w:rPr>
        <w:annotationRef/>
      </w:r>
      <w:r>
        <w:t xml:space="preserve">Dùng từ “không đủ điều kiện sát hạch” chứ ko phải “không đủ điều kiện cấp chứng chỉ hành nghề”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58062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6F3" w:rsidRDefault="00EC66F3" w:rsidP="00402003">
      <w:pPr>
        <w:spacing w:after="0" w:line="240" w:lineRule="auto"/>
      </w:pPr>
      <w:r>
        <w:separator/>
      </w:r>
    </w:p>
  </w:endnote>
  <w:endnote w:type="continuationSeparator" w:id="1">
    <w:p w:rsidR="00EC66F3" w:rsidRDefault="00EC66F3" w:rsidP="00402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6F3" w:rsidRDefault="00EC66F3" w:rsidP="00402003">
      <w:pPr>
        <w:spacing w:after="0" w:line="240" w:lineRule="auto"/>
      </w:pPr>
      <w:r>
        <w:separator/>
      </w:r>
    </w:p>
  </w:footnote>
  <w:footnote w:type="continuationSeparator" w:id="1">
    <w:p w:rsidR="00EC66F3" w:rsidRDefault="00EC66F3" w:rsidP="004020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5874"/>
      <w:docPartObj>
        <w:docPartGallery w:val="Page Numbers (Top of Page)"/>
        <w:docPartUnique/>
      </w:docPartObj>
    </w:sdtPr>
    <w:sdtContent>
      <w:p w:rsidR="00361FBF" w:rsidRDefault="00CC13BB">
        <w:pPr>
          <w:pStyle w:val="Header"/>
          <w:jc w:val="center"/>
        </w:pPr>
        <w:r w:rsidRPr="00402003">
          <w:rPr>
            <w:sz w:val="24"/>
            <w:szCs w:val="24"/>
          </w:rPr>
          <w:fldChar w:fldCharType="begin"/>
        </w:r>
        <w:r w:rsidR="00361FBF" w:rsidRPr="00402003">
          <w:rPr>
            <w:sz w:val="24"/>
            <w:szCs w:val="24"/>
          </w:rPr>
          <w:instrText xml:space="preserve"> PAGE   \* MERGEFORMAT </w:instrText>
        </w:r>
        <w:r w:rsidRPr="00402003">
          <w:rPr>
            <w:sz w:val="24"/>
            <w:szCs w:val="24"/>
          </w:rPr>
          <w:fldChar w:fldCharType="separate"/>
        </w:r>
        <w:r w:rsidR="00547CBA">
          <w:rPr>
            <w:noProof/>
            <w:sz w:val="24"/>
            <w:szCs w:val="24"/>
          </w:rPr>
          <w:t>6</w:t>
        </w:r>
        <w:r w:rsidRPr="00402003">
          <w:rPr>
            <w:sz w:val="24"/>
            <w:szCs w:val="24"/>
          </w:rPr>
          <w:fldChar w:fldCharType="end"/>
        </w:r>
      </w:p>
    </w:sdtContent>
  </w:sdt>
  <w:p w:rsidR="00361FBF" w:rsidRDefault="00361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57775"/>
    <w:multiLevelType w:val="hybridMultilevel"/>
    <w:tmpl w:val="C9AA2E00"/>
    <w:lvl w:ilvl="0" w:tplc="5DAAA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3C37DE8"/>
    <w:multiLevelType w:val="hybridMultilevel"/>
    <w:tmpl w:val="92A4452E"/>
    <w:lvl w:ilvl="0" w:tplc="86E695B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151B4"/>
    <w:rsid w:val="000143AE"/>
    <w:rsid w:val="00017A0D"/>
    <w:rsid w:val="00027741"/>
    <w:rsid w:val="00093BB5"/>
    <w:rsid w:val="00094A2D"/>
    <w:rsid w:val="00095A4A"/>
    <w:rsid w:val="001151B4"/>
    <w:rsid w:val="00152B63"/>
    <w:rsid w:val="00167FAD"/>
    <w:rsid w:val="00184501"/>
    <w:rsid w:val="001B13C5"/>
    <w:rsid w:val="001B4891"/>
    <w:rsid w:val="001B7955"/>
    <w:rsid w:val="001C3F9F"/>
    <w:rsid w:val="001F34DD"/>
    <w:rsid w:val="00221E5A"/>
    <w:rsid w:val="002529C8"/>
    <w:rsid w:val="0027020C"/>
    <w:rsid w:val="00297429"/>
    <w:rsid w:val="002B5BA9"/>
    <w:rsid w:val="002B792F"/>
    <w:rsid w:val="002C47B7"/>
    <w:rsid w:val="002D4CB6"/>
    <w:rsid w:val="0032637D"/>
    <w:rsid w:val="00361D86"/>
    <w:rsid w:val="00361FBF"/>
    <w:rsid w:val="00371C6C"/>
    <w:rsid w:val="00375176"/>
    <w:rsid w:val="003C24FA"/>
    <w:rsid w:val="003F5579"/>
    <w:rsid w:val="00402003"/>
    <w:rsid w:val="00482FC4"/>
    <w:rsid w:val="0048480D"/>
    <w:rsid w:val="004D5DCB"/>
    <w:rsid w:val="0050353B"/>
    <w:rsid w:val="0050468A"/>
    <w:rsid w:val="005224C6"/>
    <w:rsid w:val="0053415C"/>
    <w:rsid w:val="00547CBA"/>
    <w:rsid w:val="00547D84"/>
    <w:rsid w:val="00557CF0"/>
    <w:rsid w:val="00595176"/>
    <w:rsid w:val="005A1731"/>
    <w:rsid w:val="005B3E2B"/>
    <w:rsid w:val="005B734E"/>
    <w:rsid w:val="005C38E2"/>
    <w:rsid w:val="005C5FE2"/>
    <w:rsid w:val="005C622B"/>
    <w:rsid w:val="00627BCE"/>
    <w:rsid w:val="00630AE8"/>
    <w:rsid w:val="00633D8B"/>
    <w:rsid w:val="00683A67"/>
    <w:rsid w:val="00701B18"/>
    <w:rsid w:val="00723401"/>
    <w:rsid w:val="00761065"/>
    <w:rsid w:val="00764229"/>
    <w:rsid w:val="0077584A"/>
    <w:rsid w:val="0078301F"/>
    <w:rsid w:val="0085761D"/>
    <w:rsid w:val="00891E2A"/>
    <w:rsid w:val="008B0306"/>
    <w:rsid w:val="008B18B0"/>
    <w:rsid w:val="008C512C"/>
    <w:rsid w:val="009275DF"/>
    <w:rsid w:val="0093628F"/>
    <w:rsid w:val="009469A3"/>
    <w:rsid w:val="00961C34"/>
    <w:rsid w:val="00971378"/>
    <w:rsid w:val="009F423A"/>
    <w:rsid w:val="00A06692"/>
    <w:rsid w:val="00A54B36"/>
    <w:rsid w:val="00A562E1"/>
    <w:rsid w:val="00A676B1"/>
    <w:rsid w:val="00A81F6E"/>
    <w:rsid w:val="00A8549D"/>
    <w:rsid w:val="00AA5D7F"/>
    <w:rsid w:val="00AF2C1C"/>
    <w:rsid w:val="00B00985"/>
    <w:rsid w:val="00B03898"/>
    <w:rsid w:val="00B043CD"/>
    <w:rsid w:val="00B21724"/>
    <w:rsid w:val="00B47C67"/>
    <w:rsid w:val="00B60EA1"/>
    <w:rsid w:val="00BC00F4"/>
    <w:rsid w:val="00BF16C5"/>
    <w:rsid w:val="00BF7D68"/>
    <w:rsid w:val="00C00B84"/>
    <w:rsid w:val="00C016DC"/>
    <w:rsid w:val="00C2064D"/>
    <w:rsid w:val="00C24ED2"/>
    <w:rsid w:val="00C25E31"/>
    <w:rsid w:val="00C26B9A"/>
    <w:rsid w:val="00C40BB8"/>
    <w:rsid w:val="00C70720"/>
    <w:rsid w:val="00CA1603"/>
    <w:rsid w:val="00CC0345"/>
    <w:rsid w:val="00CC13BB"/>
    <w:rsid w:val="00CD2690"/>
    <w:rsid w:val="00CD747E"/>
    <w:rsid w:val="00D02DC7"/>
    <w:rsid w:val="00D65CCC"/>
    <w:rsid w:val="00DA05BE"/>
    <w:rsid w:val="00DC0F23"/>
    <w:rsid w:val="00DC41E7"/>
    <w:rsid w:val="00DE0E47"/>
    <w:rsid w:val="00DE2385"/>
    <w:rsid w:val="00E03EA0"/>
    <w:rsid w:val="00E274A9"/>
    <w:rsid w:val="00E91147"/>
    <w:rsid w:val="00E92AAF"/>
    <w:rsid w:val="00EA3E93"/>
    <w:rsid w:val="00EC66F3"/>
    <w:rsid w:val="00EE4A1A"/>
    <w:rsid w:val="00F07AEC"/>
    <w:rsid w:val="00F31400"/>
    <w:rsid w:val="00F555F7"/>
    <w:rsid w:val="00F976D9"/>
    <w:rsid w:val="00FB51F6"/>
    <w:rsid w:val="00FB7A38"/>
    <w:rsid w:val="00FC2E81"/>
    <w:rsid w:val="00FE7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B4"/>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1B4"/>
    <w:pPr>
      <w:spacing w:before="100" w:beforeAutospacing="1" w:after="100" w:afterAutospacing="1" w:line="240" w:lineRule="auto"/>
    </w:pPr>
    <w:rPr>
      <w:rFonts w:eastAsia="Times New Roman"/>
      <w:sz w:val="24"/>
      <w:szCs w:val="24"/>
    </w:rPr>
  </w:style>
  <w:style w:type="character" w:styleId="CommentReference">
    <w:name w:val="annotation reference"/>
    <w:uiPriority w:val="99"/>
    <w:semiHidden/>
    <w:unhideWhenUsed/>
    <w:rsid w:val="001151B4"/>
    <w:rPr>
      <w:sz w:val="16"/>
      <w:szCs w:val="16"/>
    </w:rPr>
  </w:style>
  <w:style w:type="paragraph" w:styleId="CommentText">
    <w:name w:val="annotation text"/>
    <w:basedOn w:val="Normal"/>
    <w:link w:val="CommentTextChar"/>
    <w:uiPriority w:val="99"/>
    <w:semiHidden/>
    <w:unhideWhenUsed/>
    <w:rsid w:val="001151B4"/>
    <w:rPr>
      <w:sz w:val="20"/>
      <w:szCs w:val="20"/>
    </w:rPr>
  </w:style>
  <w:style w:type="character" w:customStyle="1" w:styleId="CommentTextChar">
    <w:name w:val="Comment Text Char"/>
    <w:basedOn w:val="DefaultParagraphFont"/>
    <w:link w:val="CommentText"/>
    <w:uiPriority w:val="99"/>
    <w:semiHidden/>
    <w:rsid w:val="001151B4"/>
    <w:rPr>
      <w:rFonts w:eastAsia="Calibri"/>
      <w:sz w:val="20"/>
      <w:szCs w:val="20"/>
    </w:rPr>
  </w:style>
  <w:style w:type="paragraph" w:styleId="BalloonText">
    <w:name w:val="Balloon Text"/>
    <w:basedOn w:val="Normal"/>
    <w:link w:val="BalloonTextChar"/>
    <w:uiPriority w:val="99"/>
    <w:semiHidden/>
    <w:unhideWhenUsed/>
    <w:rsid w:val="00115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B4"/>
    <w:rPr>
      <w:rFonts w:ascii="Tahoma" w:eastAsia="Calibri" w:hAnsi="Tahoma" w:cs="Tahoma"/>
      <w:sz w:val="16"/>
      <w:szCs w:val="16"/>
    </w:rPr>
  </w:style>
  <w:style w:type="paragraph" w:styleId="Header">
    <w:name w:val="header"/>
    <w:basedOn w:val="Normal"/>
    <w:link w:val="HeaderChar"/>
    <w:uiPriority w:val="99"/>
    <w:unhideWhenUsed/>
    <w:rsid w:val="00402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03"/>
    <w:rPr>
      <w:rFonts w:eastAsia="Calibri"/>
      <w:szCs w:val="22"/>
    </w:rPr>
  </w:style>
  <w:style w:type="paragraph" w:styleId="Footer">
    <w:name w:val="footer"/>
    <w:basedOn w:val="Normal"/>
    <w:link w:val="FooterChar"/>
    <w:uiPriority w:val="99"/>
    <w:semiHidden/>
    <w:unhideWhenUsed/>
    <w:rsid w:val="004020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2003"/>
    <w:rPr>
      <w:rFonts w:eastAsia="Calibri"/>
      <w:szCs w:val="22"/>
    </w:rPr>
  </w:style>
  <w:style w:type="paragraph" w:styleId="Revision">
    <w:name w:val="Revision"/>
    <w:hidden/>
    <w:uiPriority w:val="99"/>
    <w:semiHidden/>
    <w:rsid w:val="00547CBA"/>
    <w:pPr>
      <w:spacing w:after="0" w:line="240" w:lineRule="auto"/>
    </w:pPr>
    <w:rPr>
      <w:rFonts w:eastAsia="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3A6EE-E8A4-4B78-9CC2-DA154AB08E76}"/>
</file>

<file path=customXml/itemProps2.xml><?xml version="1.0" encoding="utf-8"?>
<ds:datastoreItem xmlns:ds="http://schemas.openxmlformats.org/officeDocument/2006/customXml" ds:itemID="{2BA6760B-EC9D-41CB-B445-C31D3A59959B}"/>
</file>

<file path=customXml/itemProps3.xml><?xml version="1.0" encoding="utf-8"?>
<ds:datastoreItem xmlns:ds="http://schemas.openxmlformats.org/officeDocument/2006/customXml" ds:itemID="{53D450B5-2C5B-4A0B-8E89-5C480EC96F86}"/>
</file>

<file path=customXml/itemProps4.xml><?xml version="1.0" encoding="utf-8"?>
<ds:datastoreItem xmlns:ds="http://schemas.openxmlformats.org/officeDocument/2006/customXml" ds:itemID="{8A0302DC-BEC4-4618-A844-232E035A0501}"/>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HUNG</dc:creator>
  <cp:lastModifiedBy>User</cp:lastModifiedBy>
  <cp:revision>2</cp:revision>
  <cp:lastPrinted>2018-10-29T03:57:00Z</cp:lastPrinted>
  <dcterms:created xsi:type="dcterms:W3CDTF">2018-11-09T01:36:00Z</dcterms:created>
  <dcterms:modified xsi:type="dcterms:W3CDTF">2018-11-09T01:36:00Z</dcterms:modified>
</cp:coreProperties>
</file>